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04DDD2" w14:textId="77777777" w:rsidR="00050FA2" w:rsidRPr="00F2477B" w:rsidRDefault="00050FA2" w:rsidP="00050FA2">
      <w:pPr>
        <w:rPr>
          <w:i/>
          <w:iCs/>
        </w:rPr>
      </w:pPr>
      <w:bookmarkStart w:id="0" w:name="_GoBack"/>
      <w:bookmarkEnd w:id="0"/>
      <w:r w:rsidRPr="00C62C5A">
        <w:rPr>
          <w:i/>
          <w:iCs/>
        </w:rPr>
        <w:t>A new simulant: JSC Mars-1</w:t>
      </w:r>
    </w:p>
    <w:p w14:paraId="7CBE9222" w14:textId="77777777" w:rsidR="00050FA2" w:rsidRDefault="00050FA2" w:rsidP="00050FA2"/>
    <w:p w14:paraId="35F9222E" w14:textId="77777777" w:rsidR="00050FA2" w:rsidRDefault="00050FA2" w:rsidP="00050FA2">
      <w:r>
        <w:t>JSC Mars-1 is NASA’s</w:t>
      </w:r>
      <w:r w:rsidRPr="00443845">
        <w:t xml:space="preserve"> Johnson Space Center</w:t>
      </w:r>
      <w:r>
        <w:t xml:space="preserve"> simulant developed in 1998 as a laboratory reference for mainly for testing space instrumentations. On the bases of the compositional and physical properties of the landing sites of Vikings and Pathfinder missions on Mars, </w:t>
      </w:r>
      <w:r>
        <w:rPr>
          <w:color w:val="7030A0"/>
        </w:rPr>
        <w:t>Allen</w:t>
      </w:r>
      <w:r w:rsidRPr="00FD55B8">
        <w:rPr>
          <w:color w:val="7030A0"/>
        </w:rPr>
        <w:t xml:space="preserve"> et al. (1998)</w:t>
      </w:r>
      <w:r>
        <w:t xml:space="preserve"> identified this material as a Martian simulant and analyzed it. It is a volcanic ash, which underwent aqueous alteration, from Mauna Kea </w:t>
      </w:r>
      <w:proofErr w:type="spellStart"/>
      <w:r>
        <w:t>volcan</w:t>
      </w:r>
      <w:proofErr w:type="spellEnd"/>
      <w:r>
        <w:t xml:space="preserve">, Hawaii. </w:t>
      </w:r>
    </w:p>
    <w:p w14:paraId="31A1140E" w14:textId="77777777" w:rsidR="00050FA2" w:rsidRDefault="00050FA2" w:rsidP="00050FA2">
      <w:r>
        <w:t>We wanted to analyze this further simulant because its spectrum could match with the atmospheric dust spectrum better than the finest part of MGS-1 (see Section 6). It was commercially available in the past, now you need to request NASA.</w:t>
      </w:r>
    </w:p>
    <w:p w14:paraId="0B8B32A8" w14:textId="77777777" w:rsidR="00050FA2" w:rsidRDefault="00050FA2" w:rsidP="00050FA2">
      <w:pPr>
        <w:rPr>
          <w:color w:val="000000"/>
        </w:rPr>
      </w:pPr>
      <w:r w:rsidRPr="001D72D1">
        <w:rPr>
          <w:color w:val="000000"/>
        </w:rPr>
        <w:t xml:space="preserve">The dataset of our analysis is contained in the repository in Research Data Unipd </w:t>
      </w:r>
      <w:r>
        <w:rPr>
          <w:color w:val="000000"/>
        </w:rPr>
        <w:t>(</w:t>
      </w:r>
      <w:hyperlink r:id="rId8" w:history="1">
        <w:r w:rsidRPr="00050FA2">
          <w:rPr>
            <w:rStyle w:val="Collegamentoipertestuale"/>
            <w:color w:val="auto"/>
          </w:rPr>
          <w:t>https://researchdata.cab.unipd.it/id/eprint/1279</w:t>
        </w:r>
      </w:hyperlink>
      <w:r>
        <w:t xml:space="preserve">; </w:t>
      </w:r>
      <w:r w:rsidRPr="006D7658">
        <w:rPr>
          <w:color w:val="7030A0"/>
        </w:rPr>
        <w:t>Costa et al., 2024a, b</w:t>
      </w:r>
      <w:r>
        <w:t>)</w:t>
      </w:r>
      <w:r w:rsidRPr="001D72D1">
        <w:rPr>
          <w:color w:val="000000"/>
        </w:rPr>
        <w:t>.</w:t>
      </w:r>
      <w:r>
        <w:rPr>
          <w:color w:val="000000"/>
        </w:rPr>
        <w:t xml:space="preserve"> </w:t>
      </w:r>
    </w:p>
    <w:p w14:paraId="76231B23" w14:textId="77777777" w:rsidR="00050FA2" w:rsidRDefault="00050FA2" w:rsidP="00050FA2">
      <w:bookmarkStart w:id="1" w:name="_Hlk192152775"/>
      <w:r w:rsidRPr="00BE7B40">
        <w:rPr>
          <w:color w:val="000000"/>
        </w:rPr>
        <w:t xml:space="preserve">The granulometric analysis </w:t>
      </w:r>
      <w:r>
        <w:rPr>
          <w:color w:val="000000"/>
        </w:rPr>
        <w:t>was</w:t>
      </w:r>
      <w:r w:rsidRPr="00BE7B40">
        <w:rPr>
          <w:color w:val="000000"/>
        </w:rPr>
        <w:t xml:space="preserve"> conducted by means of Laser Diffraction Particle Size Analyzer (Malvern Panalytical Mastersizer3000) equipped with a large volume liquid dispenser (Hydro LV). Samples </w:t>
      </w:r>
      <w:r>
        <w:rPr>
          <w:color w:val="000000"/>
        </w:rPr>
        <w:t xml:space="preserve">were analyzed as reported in </w:t>
      </w:r>
      <w:r w:rsidRPr="005F249D">
        <w:rPr>
          <w:color w:val="7030A0"/>
        </w:rPr>
        <w:t>Costa et al. (2024b)</w:t>
      </w:r>
      <w:r>
        <w:rPr>
          <w:color w:val="000000"/>
        </w:rPr>
        <w:t xml:space="preserve">: we </w:t>
      </w:r>
      <w:r w:rsidRPr="00BE7B40">
        <w:rPr>
          <w:color w:val="000000"/>
        </w:rPr>
        <w:t>added</w:t>
      </w:r>
      <w:r>
        <w:rPr>
          <w:color w:val="000000"/>
        </w:rPr>
        <w:t xml:space="preserve"> sample</w:t>
      </w:r>
      <w:r w:rsidRPr="00BE7B40">
        <w:rPr>
          <w:color w:val="000000"/>
        </w:rPr>
        <w:t xml:space="preserve"> until a 4% of light obscuration. Both during the sample addition and the analysis, ultrasound dispersion was activated at the power of 90%, and the stirring speed has been set to 2500 rpm</w:t>
      </w:r>
      <w:r>
        <w:rPr>
          <w:color w:val="000000"/>
        </w:rPr>
        <w:t xml:space="preserve">; for other parameters see </w:t>
      </w:r>
      <w:r w:rsidRPr="00BE7B40">
        <w:rPr>
          <w:color w:val="FFC000"/>
        </w:rPr>
        <w:t xml:space="preserve">Tab. </w:t>
      </w:r>
      <w:r>
        <w:rPr>
          <w:color w:val="FFC000"/>
        </w:rPr>
        <w:t>5.</w:t>
      </w:r>
      <w:r w:rsidRPr="00BE7B40">
        <w:rPr>
          <w:color w:val="FFC000"/>
        </w:rPr>
        <w:t>7</w:t>
      </w:r>
      <w:r>
        <w:rPr>
          <w:color w:val="FFC000"/>
        </w:rPr>
        <w:t xml:space="preserve"> </w:t>
      </w:r>
      <w:r w:rsidRPr="00B47583">
        <w:t>in</w:t>
      </w:r>
      <w:r>
        <w:rPr>
          <w:color w:val="7030A0"/>
        </w:rPr>
        <w:t xml:space="preserve"> Costa et al. (2024b)</w:t>
      </w:r>
      <w:r w:rsidRPr="00BE7B40">
        <w:rPr>
          <w:color w:val="000000"/>
        </w:rPr>
        <w:t>.</w:t>
      </w:r>
      <w:bookmarkEnd w:id="1"/>
      <w:r w:rsidRPr="00BE7B40">
        <w:rPr>
          <w:color w:val="000000"/>
        </w:rPr>
        <w:t> </w:t>
      </w:r>
      <w:r w:rsidRPr="00BE7B40">
        <w:rPr>
          <w:iCs/>
        </w:rPr>
        <w:t xml:space="preserve">Firstly, we measured the particle size and size distribution of the original simulants (i.e., the bulk samples). </w:t>
      </w:r>
      <w:r w:rsidRPr="00BE7B40">
        <w:rPr>
          <w:color w:val="000000"/>
        </w:rPr>
        <w:t xml:space="preserve">After this first screening, the samples </w:t>
      </w:r>
      <w:r>
        <w:rPr>
          <w:color w:val="000000"/>
        </w:rPr>
        <w:t>were</w:t>
      </w:r>
      <w:r w:rsidRPr="00BE7B40">
        <w:rPr>
          <w:color w:val="000000"/>
        </w:rPr>
        <w:t xml:space="preserve"> sieved with an automated vibrating sieve (Retsch) using the following sieve-ranges: &lt;32 µm, 32 – 63 µm, 63 – 250 µm, 250 µm – 1000 µm, &gt; 1000 µm. Each fraction </w:t>
      </w:r>
      <w:r>
        <w:rPr>
          <w:color w:val="000000"/>
        </w:rPr>
        <w:t>was</w:t>
      </w:r>
      <w:r w:rsidRPr="00BE7B40">
        <w:rPr>
          <w:color w:val="000000"/>
        </w:rPr>
        <w:t xml:space="preserve"> characterized through the laser diffraction granulometry. For each acquisition, the last five measurements (of 20) have been averaged.</w:t>
      </w:r>
      <w:r>
        <w:rPr>
          <w:color w:val="000000"/>
        </w:rPr>
        <w:t xml:space="preserve"> </w:t>
      </w:r>
      <w:r w:rsidRPr="00BE7B40">
        <w:rPr>
          <w:color w:val="000000"/>
        </w:rPr>
        <w:t>The diagram in </w:t>
      </w:r>
      <w:r w:rsidRPr="00BE7B40">
        <w:rPr>
          <w:color w:val="00B050"/>
        </w:rPr>
        <w:t xml:space="preserve">Fig. </w:t>
      </w:r>
      <w:r>
        <w:rPr>
          <w:color w:val="00B050"/>
        </w:rPr>
        <w:t>1</w:t>
      </w:r>
      <w:r w:rsidRPr="00BE7B40">
        <w:rPr>
          <w:color w:val="000000"/>
        </w:rPr>
        <w:t xml:space="preserve"> highlights the grainsize distribution for the original sample and </w:t>
      </w:r>
      <w:r>
        <w:rPr>
          <w:color w:val="000000"/>
        </w:rPr>
        <w:t>four</w:t>
      </w:r>
      <w:r w:rsidRPr="00BE7B40">
        <w:rPr>
          <w:color w:val="000000"/>
        </w:rPr>
        <w:t xml:space="preserve"> different granulometric classes. With the term Original sample, we refer to the simulant powder as it was received in the original package. </w:t>
      </w:r>
      <w:r w:rsidRPr="008445E2">
        <w:rPr>
          <w:color w:val="000000"/>
        </w:rPr>
        <w:t xml:space="preserve">The </w:t>
      </w:r>
      <w:r w:rsidRPr="008445E2">
        <w:t xml:space="preserve">250-1000 µm class </w:t>
      </w:r>
      <w:r>
        <w:t>was not</w:t>
      </w:r>
      <w:r w:rsidRPr="008445E2">
        <w:t xml:space="preserve"> </w:t>
      </w:r>
      <w:r>
        <w:t xml:space="preserve">shown and </w:t>
      </w:r>
      <w:r w:rsidRPr="008445E2">
        <w:t xml:space="preserve">measured </w:t>
      </w:r>
      <w:r>
        <w:t xml:space="preserve">because the presence of several grains with diameter &gt;3.5 </w:t>
      </w:r>
      <w:r w:rsidRPr="0068094C">
        <w:t>µm</w:t>
      </w:r>
      <w:r>
        <w:t xml:space="preserve"> cause the </w:t>
      </w:r>
      <w:r w:rsidRPr="00CA3D35">
        <w:t>obstruct</w:t>
      </w:r>
      <w:r>
        <w:t>ion of</w:t>
      </w:r>
      <w:r w:rsidRPr="00CA3D35">
        <w:t xml:space="preserve"> the instrument, </w:t>
      </w:r>
      <w:r>
        <w:t>avoiding</w:t>
      </w:r>
      <w:r w:rsidRPr="00CA3D35">
        <w:t xml:space="preserve"> the analysis</w:t>
      </w:r>
      <w:r>
        <w:t>.</w:t>
      </w:r>
    </w:p>
    <w:p w14:paraId="3BD51230" w14:textId="77777777" w:rsidR="00050FA2" w:rsidRPr="0068094C" w:rsidRDefault="00050FA2" w:rsidP="00050FA2">
      <w:pPr>
        <w:rPr>
          <w:color w:val="000000"/>
        </w:rPr>
      </w:pPr>
    </w:p>
    <w:p w14:paraId="78279AAB" w14:textId="77777777" w:rsidR="00050FA2" w:rsidRDefault="00050FA2" w:rsidP="00050FA2">
      <w:pPr>
        <w:jc w:val="center"/>
      </w:pPr>
      <w:r w:rsidRPr="00115A27">
        <w:rPr>
          <w:noProof/>
        </w:rPr>
        <w:drawing>
          <wp:inline distT="0" distB="0" distL="0" distR="0" wp14:anchorId="1E166C8B" wp14:editId="5D4EE5C3">
            <wp:extent cx="3597910" cy="2974975"/>
            <wp:effectExtent l="0" t="0" r="2540" b="0"/>
            <wp:docPr id="4" name="Immagine 4" descr="Immagine che contiene testo, diagramma, linea, Diagramm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descr="Immagine che contiene testo, diagramma, linea, Diagramma&#10;&#10;Il contenuto generato dall'IA potrebbe non essere corretto."/>
                    <pic:cNvPicPr>
                      <a:picLocks noChangeAspect="1" noChangeArrowheads="1"/>
                    </pic:cNvPicPr>
                  </pic:nvPicPr>
                  <pic:blipFill>
                    <a:blip r:embed="rId9">
                      <a:extLst>
                        <a:ext uri="{28A0092B-C50C-407E-A947-70E740481C1C}">
                          <a14:useLocalDpi xmlns:a14="http://schemas.microsoft.com/office/drawing/2010/main" val="0"/>
                        </a:ext>
                      </a:extLst>
                    </a:blip>
                    <a:srcRect l="6570" t="8936" r="11897" b="3104"/>
                    <a:stretch>
                      <a:fillRect/>
                    </a:stretch>
                  </pic:blipFill>
                  <pic:spPr bwMode="auto">
                    <a:xfrm>
                      <a:off x="0" y="0"/>
                      <a:ext cx="3597910" cy="2974975"/>
                    </a:xfrm>
                    <a:prstGeom prst="rect">
                      <a:avLst/>
                    </a:prstGeom>
                    <a:noFill/>
                    <a:ln>
                      <a:noFill/>
                    </a:ln>
                  </pic:spPr>
                </pic:pic>
              </a:graphicData>
            </a:graphic>
          </wp:inline>
        </w:drawing>
      </w:r>
    </w:p>
    <w:p w14:paraId="22658D28" w14:textId="77777777" w:rsidR="00050FA2" w:rsidRPr="00CA40EB" w:rsidRDefault="00050FA2" w:rsidP="00050FA2">
      <w:pPr>
        <w:jc w:val="center"/>
        <w:rPr>
          <w:i/>
          <w:iCs/>
        </w:rPr>
      </w:pPr>
      <w:r w:rsidRPr="00CA40EB">
        <w:rPr>
          <w:i/>
          <w:iCs/>
          <w:color w:val="000000"/>
        </w:rPr>
        <w:t>Fig</w:t>
      </w:r>
      <w:r>
        <w:rPr>
          <w:i/>
          <w:iCs/>
          <w:color w:val="000000"/>
        </w:rPr>
        <w:t>ure</w:t>
      </w:r>
      <w:r w:rsidRPr="00CA40EB">
        <w:rPr>
          <w:i/>
          <w:iCs/>
          <w:color w:val="000000"/>
        </w:rPr>
        <w:t xml:space="preserve"> </w:t>
      </w:r>
      <w:r>
        <w:rPr>
          <w:i/>
          <w:iCs/>
          <w:color w:val="000000"/>
        </w:rPr>
        <w:t>1</w:t>
      </w:r>
      <w:r w:rsidRPr="00CA40EB">
        <w:rPr>
          <w:i/>
          <w:iCs/>
          <w:color w:val="000000"/>
        </w:rPr>
        <w:t xml:space="preserve">. </w:t>
      </w:r>
      <w:bookmarkStart w:id="2" w:name="_Hlk192151201"/>
      <w:r w:rsidRPr="00CA40EB">
        <w:rPr>
          <w:i/>
          <w:iCs/>
          <w:color w:val="000000"/>
        </w:rPr>
        <w:t xml:space="preserve">Granulometric curves of the original </w:t>
      </w:r>
      <w:r>
        <w:rPr>
          <w:i/>
          <w:iCs/>
          <w:color w:val="000000"/>
        </w:rPr>
        <w:t>JSC Mars-</w:t>
      </w:r>
      <w:r w:rsidRPr="00CA40EB">
        <w:rPr>
          <w:i/>
          <w:iCs/>
          <w:color w:val="000000"/>
        </w:rPr>
        <w:t>1</w:t>
      </w:r>
      <w:r>
        <w:rPr>
          <w:i/>
          <w:iCs/>
          <w:color w:val="000000"/>
        </w:rPr>
        <w:t xml:space="preserve"> and </w:t>
      </w:r>
      <w:r w:rsidRPr="008D4C7F">
        <w:rPr>
          <w:i/>
          <w:iCs/>
          <w:color w:val="000000"/>
        </w:rPr>
        <w:t>four different granulometric classes</w:t>
      </w:r>
      <w:r>
        <w:rPr>
          <w:i/>
          <w:iCs/>
          <w:color w:val="000000"/>
        </w:rPr>
        <w:t xml:space="preserve"> (see Supplementary materials)</w:t>
      </w:r>
      <w:r w:rsidRPr="00CA40EB">
        <w:rPr>
          <w:i/>
          <w:iCs/>
          <w:color w:val="000000"/>
        </w:rPr>
        <w:t>.</w:t>
      </w:r>
      <w:bookmarkEnd w:id="2"/>
    </w:p>
    <w:p w14:paraId="2CE4F4E6" w14:textId="77777777" w:rsidR="00050FA2" w:rsidRPr="008D4C7F" w:rsidRDefault="00050FA2" w:rsidP="00050FA2">
      <w:pPr>
        <w:rPr>
          <w:color w:val="C00000"/>
        </w:rPr>
      </w:pPr>
    </w:p>
    <w:p w14:paraId="6693EC53" w14:textId="77777777" w:rsidR="00050FA2" w:rsidRPr="00CA3321" w:rsidRDefault="00050FA2" w:rsidP="00050FA2">
      <w:bookmarkStart w:id="3" w:name="_Hlk209646907"/>
      <w:r w:rsidRPr="00CA3321">
        <w:t xml:space="preserve">Instead of the Inductively Coupled Plasma Mass Spectroscopy Perkin-Elmer NexION 350X (ICP-MS), Inductively Coupled Plasma Optical Emission Spectroscopy (ICP-OES) has been employed for the quantitative analysis of inorganics elements of the simulants. </w:t>
      </w:r>
    </w:p>
    <w:p w14:paraId="53DE2503" w14:textId="77777777" w:rsidR="00050FA2" w:rsidRPr="00CA3321" w:rsidRDefault="00050FA2" w:rsidP="00050FA2">
      <w:r w:rsidRPr="00CA3321">
        <w:t>Around 50 mg of sample were weighed</w:t>
      </w:r>
      <w:r>
        <w:t xml:space="preserve"> using an analytical balance (</w:t>
      </w:r>
      <w:proofErr w:type="spellStart"/>
      <w:r>
        <w:t>Practum</w:t>
      </w:r>
      <w:proofErr w:type="spellEnd"/>
      <w:r>
        <w:t>, Sartorius, 0.01 mg) and transferred into Teflon vessels for acidic microwave-assisted mineralization (Ethos UP, Milestone). A mixture of 6 mL of aqua regia (</w:t>
      </w:r>
      <w:proofErr w:type="spellStart"/>
      <w:proofErr w:type="gramStart"/>
      <w:r>
        <w:t>HCl:HNO</w:t>
      </w:r>
      <w:proofErr w:type="spellEnd"/>
      <w:proofErr w:type="gramEnd"/>
      <w:r>
        <w:t xml:space="preserve">₃, 3:1) and 0.1 mL of ultrapure HF was added to each vessel, which was then sealed and subjected to the heating program reported in </w:t>
      </w:r>
      <w:r w:rsidRPr="00CA3321">
        <w:rPr>
          <w:color w:val="FFC000"/>
        </w:rPr>
        <w:t>Tab. 2</w:t>
      </w:r>
      <w:r>
        <w:t xml:space="preserve">. After mineralization and cooling to room temperature, 0.5 mL of a saturated H₃BO₃ solution was added to the digests and left to react for 2 h. </w:t>
      </w:r>
    </w:p>
    <w:p w14:paraId="0C3EBD68" w14:textId="77777777" w:rsidR="00050FA2" w:rsidRDefault="00050FA2" w:rsidP="00050FA2">
      <w:pPr>
        <w:rPr>
          <w:color w:val="C00000"/>
        </w:rPr>
      </w:pPr>
    </w:p>
    <w:tbl>
      <w:tblPr>
        <w:tblStyle w:val="Grigliatabella"/>
        <w:tblW w:w="0" w:type="auto"/>
        <w:jc w:val="center"/>
        <w:shd w:val="clear" w:color="auto" w:fill="C5E0B3" w:themeFill="accent6" w:themeFillTint="66"/>
        <w:tblLook w:val="04A0" w:firstRow="1" w:lastRow="0" w:firstColumn="1" w:lastColumn="0" w:noHBand="0" w:noVBand="1"/>
      </w:tblPr>
      <w:tblGrid>
        <w:gridCol w:w="1219"/>
        <w:gridCol w:w="827"/>
        <w:gridCol w:w="2410"/>
      </w:tblGrid>
      <w:tr w:rsidR="00050FA2" w:rsidRPr="005A70E7" w14:paraId="33DCAFD5" w14:textId="77777777" w:rsidTr="00A902EB">
        <w:trPr>
          <w:jc w:val="center"/>
        </w:trPr>
        <w:tc>
          <w:tcPr>
            <w:tcW w:w="2046" w:type="dxa"/>
            <w:gridSpan w:val="2"/>
            <w:shd w:val="clear" w:color="auto" w:fill="C5E0B3" w:themeFill="accent6" w:themeFillTint="66"/>
            <w:vAlign w:val="center"/>
          </w:tcPr>
          <w:p w14:paraId="5DF50609" w14:textId="77777777" w:rsidR="00050FA2" w:rsidRPr="00CA3321" w:rsidRDefault="00050FA2" w:rsidP="00A902EB">
            <w:pPr>
              <w:jc w:val="center"/>
              <w:rPr>
                <w:b/>
              </w:rPr>
            </w:pPr>
            <w:r w:rsidRPr="00CA3321">
              <w:rPr>
                <w:b/>
              </w:rPr>
              <w:t>Time (min)</w:t>
            </w:r>
          </w:p>
        </w:tc>
        <w:tc>
          <w:tcPr>
            <w:tcW w:w="2410" w:type="dxa"/>
            <w:shd w:val="clear" w:color="auto" w:fill="C5E0B3" w:themeFill="accent6" w:themeFillTint="66"/>
            <w:vAlign w:val="center"/>
          </w:tcPr>
          <w:p w14:paraId="1BF57D82" w14:textId="77777777" w:rsidR="00050FA2" w:rsidRPr="00CA3321" w:rsidRDefault="00050FA2" w:rsidP="00A902EB">
            <w:pPr>
              <w:jc w:val="center"/>
              <w:rPr>
                <w:b/>
              </w:rPr>
            </w:pPr>
            <w:r w:rsidRPr="00CA3321">
              <w:rPr>
                <w:b/>
              </w:rPr>
              <w:t>Temperature (°C)</w:t>
            </w:r>
          </w:p>
        </w:tc>
      </w:tr>
      <w:tr w:rsidR="00050FA2" w:rsidRPr="005A70E7" w14:paraId="3F447978" w14:textId="77777777" w:rsidTr="00A902EB">
        <w:trPr>
          <w:jc w:val="center"/>
        </w:trPr>
        <w:tc>
          <w:tcPr>
            <w:tcW w:w="1219" w:type="dxa"/>
            <w:vMerge w:val="restart"/>
            <w:shd w:val="clear" w:color="auto" w:fill="C5E0B3" w:themeFill="accent6" w:themeFillTint="66"/>
            <w:vAlign w:val="center"/>
          </w:tcPr>
          <w:p w14:paraId="34523C6C" w14:textId="77777777" w:rsidR="00050FA2" w:rsidRPr="00CA3321" w:rsidRDefault="00050FA2" w:rsidP="00A902EB">
            <w:pPr>
              <w:jc w:val="center"/>
              <w:rPr>
                <w:b/>
              </w:rPr>
            </w:pPr>
            <w:r w:rsidRPr="00CA3321">
              <w:rPr>
                <w:b/>
              </w:rPr>
              <w:t>Heating</w:t>
            </w:r>
          </w:p>
        </w:tc>
        <w:tc>
          <w:tcPr>
            <w:tcW w:w="827" w:type="dxa"/>
            <w:shd w:val="clear" w:color="auto" w:fill="auto"/>
            <w:vAlign w:val="center"/>
          </w:tcPr>
          <w:p w14:paraId="51E4BDFF" w14:textId="77777777" w:rsidR="00050FA2" w:rsidRPr="005A70E7" w:rsidRDefault="00050FA2" w:rsidP="00A902EB">
            <w:pPr>
              <w:jc w:val="center"/>
            </w:pPr>
            <w:r w:rsidRPr="005A70E7">
              <w:t>25</w:t>
            </w:r>
          </w:p>
        </w:tc>
        <w:tc>
          <w:tcPr>
            <w:tcW w:w="2410" w:type="dxa"/>
            <w:shd w:val="clear" w:color="auto" w:fill="auto"/>
            <w:vAlign w:val="center"/>
          </w:tcPr>
          <w:p w14:paraId="4F59B368" w14:textId="77777777" w:rsidR="00050FA2" w:rsidRPr="005A70E7" w:rsidRDefault="00050FA2" w:rsidP="00A902EB">
            <w:pPr>
              <w:jc w:val="center"/>
            </w:pPr>
            <w:r w:rsidRPr="005A70E7">
              <w:t>240</w:t>
            </w:r>
          </w:p>
        </w:tc>
      </w:tr>
      <w:tr w:rsidR="00050FA2" w:rsidRPr="005A70E7" w14:paraId="5A331787" w14:textId="77777777" w:rsidTr="00A902EB">
        <w:trPr>
          <w:jc w:val="center"/>
        </w:trPr>
        <w:tc>
          <w:tcPr>
            <w:tcW w:w="1219" w:type="dxa"/>
            <w:vMerge/>
            <w:shd w:val="clear" w:color="auto" w:fill="C5E0B3" w:themeFill="accent6" w:themeFillTint="66"/>
            <w:vAlign w:val="center"/>
          </w:tcPr>
          <w:p w14:paraId="40F4BE85" w14:textId="77777777" w:rsidR="00050FA2" w:rsidRPr="00CA3321" w:rsidRDefault="00050FA2" w:rsidP="00A902EB">
            <w:pPr>
              <w:jc w:val="center"/>
              <w:rPr>
                <w:b/>
              </w:rPr>
            </w:pPr>
          </w:p>
        </w:tc>
        <w:tc>
          <w:tcPr>
            <w:tcW w:w="827" w:type="dxa"/>
            <w:shd w:val="clear" w:color="auto" w:fill="auto"/>
            <w:vAlign w:val="center"/>
          </w:tcPr>
          <w:p w14:paraId="083DCA90" w14:textId="77777777" w:rsidR="00050FA2" w:rsidRPr="005A70E7" w:rsidRDefault="00050FA2" w:rsidP="00A902EB">
            <w:pPr>
              <w:jc w:val="center"/>
            </w:pPr>
            <w:r w:rsidRPr="005A70E7">
              <w:t>15</w:t>
            </w:r>
          </w:p>
        </w:tc>
        <w:tc>
          <w:tcPr>
            <w:tcW w:w="2410" w:type="dxa"/>
            <w:shd w:val="clear" w:color="auto" w:fill="auto"/>
            <w:vAlign w:val="center"/>
          </w:tcPr>
          <w:p w14:paraId="4590AC69" w14:textId="77777777" w:rsidR="00050FA2" w:rsidRPr="005A70E7" w:rsidRDefault="00050FA2" w:rsidP="00A902EB">
            <w:pPr>
              <w:jc w:val="center"/>
            </w:pPr>
            <w:r w:rsidRPr="005A70E7">
              <w:t>240</w:t>
            </w:r>
          </w:p>
        </w:tc>
      </w:tr>
      <w:tr w:rsidR="00050FA2" w:rsidRPr="005A70E7" w14:paraId="1843829C" w14:textId="77777777" w:rsidTr="00A902EB">
        <w:trPr>
          <w:jc w:val="center"/>
        </w:trPr>
        <w:tc>
          <w:tcPr>
            <w:tcW w:w="1219" w:type="dxa"/>
            <w:shd w:val="clear" w:color="auto" w:fill="C5E0B3" w:themeFill="accent6" w:themeFillTint="66"/>
            <w:vAlign w:val="center"/>
          </w:tcPr>
          <w:p w14:paraId="751A78A5" w14:textId="77777777" w:rsidR="00050FA2" w:rsidRPr="00CA3321" w:rsidRDefault="00050FA2" w:rsidP="00A902EB">
            <w:pPr>
              <w:jc w:val="center"/>
              <w:rPr>
                <w:b/>
              </w:rPr>
            </w:pPr>
            <w:r w:rsidRPr="00CA3321">
              <w:rPr>
                <w:b/>
              </w:rPr>
              <w:t>Cooling</w:t>
            </w:r>
          </w:p>
        </w:tc>
        <w:tc>
          <w:tcPr>
            <w:tcW w:w="827" w:type="dxa"/>
            <w:shd w:val="clear" w:color="auto" w:fill="auto"/>
            <w:vAlign w:val="center"/>
          </w:tcPr>
          <w:p w14:paraId="139353A5" w14:textId="77777777" w:rsidR="00050FA2" w:rsidRPr="005A70E7" w:rsidRDefault="00050FA2" w:rsidP="00A902EB">
            <w:pPr>
              <w:jc w:val="center"/>
            </w:pPr>
            <w:r>
              <w:t>20</w:t>
            </w:r>
          </w:p>
        </w:tc>
        <w:tc>
          <w:tcPr>
            <w:tcW w:w="2410" w:type="dxa"/>
            <w:shd w:val="clear" w:color="auto" w:fill="auto"/>
            <w:vAlign w:val="center"/>
          </w:tcPr>
          <w:p w14:paraId="15FCA49B" w14:textId="77777777" w:rsidR="00050FA2" w:rsidRPr="005A70E7" w:rsidRDefault="00050FA2" w:rsidP="00A902EB">
            <w:pPr>
              <w:jc w:val="center"/>
            </w:pPr>
            <w:r>
              <w:t>Room Temperature</w:t>
            </w:r>
          </w:p>
        </w:tc>
      </w:tr>
      <w:tr w:rsidR="00050FA2" w14:paraId="15D63EC2" w14:textId="77777777" w:rsidTr="00A902EB">
        <w:trPr>
          <w:jc w:val="center"/>
        </w:trPr>
        <w:tc>
          <w:tcPr>
            <w:tcW w:w="2046" w:type="dxa"/>
            <w:gridSpan w:val="2"/>
            <w:shd w:val="clear" w:color="auto" w:fill="C5E0B3" w:themeFill="accent6" w:themeFillTint="66"/>
            <w:vAlign w:val="center"/>
          </w:tcPr>
          <w:p w14:paraId="70F66C44" w14:textId="77777777" w:rsidR="00050FA2" w:rsidRPr="00CA3321" w:rsidRDefault="00050FA2" w:rsidP="00A902EB">
            <w:pPr>
              <w:jc w:val="center"/>
              <w:rPr>
                <w:b/>
              </w:rPr>
            </w:pPr>
            <w:r w:rsidRPr="00CA3321">
              <w:rPr>
                <w:b/>
              </w:rPr>
              <w:t>Program name</w:t>
            </w:r>
          </w:p>
        </w:tc>
        <w:tc>
          <w:tcPr>
            <w:tcW w:w="2410" w:type="dxa"/>
            <w:shd w:val="clear" w:color="auto" w:fill="auto"/>
            <w:vAlign w:val="center"/>
          </w:tcPr>
          <w:p w14:paraId="38A4657D" w14:textId="77777777" w:rsidR="00050FA2" w:rsidRPr="005A70E7" w:rsidRDefault="00050FA2" w:rsidP="00A902EB">
            <w:pPr>
              <w:jc w:val="center"/>
            </w:pPr>
            <w:r w:rsidRPr="005A70E7">
              <w:t>Granite</w:t>
            </w:r>
          </w:p>
        </w:tc>
      </w:tr>
    </w:tbl>
    <w:p w14:paraId="573263DA" w14:textId="77777777" w:rsidR="00050FA2" w:rsidRPr="00CA3321" w:rsidRDefault="00050FA2" w:rsidP="00050FA2">
      <w:pPr>
        <w:jc w:val="center"/>
        <w:rPr>
          <w:i/>
        </w:rPr>
      </w:pPr>
      <w:r w:rsidRPr="00CA3321">
        <w:rPr>
          <w:bCs/>
          <w:i/>
        </w:rPr>
        <w:lastRenderedPageBreak/>
        <w:t xml:space="preserve">Table 2. </w:t>
      </w:r>
      <w:bookmarkStart w:id="4" w:name="_Hlk192152916"/>
      <w:r w:rsidRPr="00CA3321">
        <w:rPr>
          <w:bCs/>
          <w:i/>
        </w:rPr>
        <w:t>Parameters</w:t>
      </w:r>
      <w:r w:rsidRPr="00CA3321">
        <w:rPr>
          <w:i/>
        </w:rPr>
        <w:t xml:space="preserve"> for the microwave used for the preparation of ICP-OES samples.</w:t>
      </w:r>
      <w:bookmarkEnd w:id="4"/>
    </w:p>
    <w:p w14:paraId="432D980F" w14:textId="77777777" w:rsidR="00050FA2" w:rsidRDefault="00050FA2" w:rsidP="00050FA2">
      <w:pPr>
        <w:rPr>
          <w:color w:val="C00000"/>
        </w:rPr>
      </w:pPr>
      <w:bookmarkStart w:id="5" w:name="_Hlk192152938"/>
    </w:p>
    <w:p w14:paraId="472F4693" w14:textId="77777777" w:rsidR="00050FA2" w:rsidRDefault="00050FA2" w:rsidP="00050FA2">
      <w:r>
        <w:t>The solutions were diluted to a final volume of 50 mL with ultrapure water. Subsequently, aliquots were further diluted (1:10) for the determination of major elements (Al, Ca, Fe, K, Mg, Na, Ti, Si) and (1:2) for the quantification of trace constituents (Ba, Cr, Cu, Mn, Ni, Pb, Sr, Zn).</w:t>
      </w:r>
    </w:p>
    <w:p w14:paraId="7BB3480C" w14:textId="77777777" w:rsidR="00050FA2" w:rsidRPr="00CA3321" w:rsidRDefault="00050FA2" w:rsidP="00050FA2">
      <w:r>
        <w:t xml:space="preserve">Elemental analysis was carried out using an ICP-OES instrument (Perkin Elmer Optima 5300DV). Quantification was performed by external calibration using five-point calibration curves (500–10,000 µg/L) for major elements and six-point calibration curves (10–500 µg/L) for minor elements. Calibration data are reported in </w:t>
      </w:r>
      <w:r w:rsidRPr="00764DD3">
        <w:rPr>
          <w:color w:val="FFC000"/>
        </w:rPr>
        <w:t>Tab. 3</w:t>
      </w:r>
      <w:r>
        <w:t>.</w:t>
      </w:r>
    </w:p>
    <w:p w14:paraId="27DFDB9D" w14:textId="77777777" w:rsidR="00050FA2" w:rsidRPr="00AA2432" w:rsidRDefault="00050FA2" w:rsidP="00050FA2">
      <w:pPr>
        <w:rPr>
          <w:color w:val="C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2694"/>
      </w:tblGrid>
      <w:tr w:rsidR="00050FA2" w:rsidRPr="00910651" w14:paraId="0AF162CB" w14:textId="77777777" w:rsidTr="00A902EB">
        <w:trPr>
          <w:jc w:val="center"/>
        </w:trPr>
        <w:tc>
          <w:tcPr>
            <w:tcW w:w="1129" w:type="dxa"/>
            <w:shd w:val="clear" w:color="auto" w:fill="D9F2D0"/>
          </w:tcPr>
          <w:p w14:paraId="51F8D533" w14:textId="77777777" w:rsidR="00050FA2" w:rsidRPr="00910651" w:rsidRDefault="00050FA2" w:rsidP="00A902EB">
            <w:pPr>
              <w:jc w:val="center"/>
              <w:rPr>
                <w:b/>
              </w:rPr>
            </w:pPr>
            <w:bookmarkStart w:id="6" w:name="_Hlk192152954"/>
            <w:bookmarkEnd w:id="5"/>
            <w:r w:rsidRPr="00910651">
              <w:rPr>
                <w:b/>
              </w:rPr>
              <w:t>Elements</w:t>
            </w:r>
          </w:p>
        </w:tc>
        <w:tc>
          <w:tcPr>
            <w:tcW w:w="1134" w:type="dxa"/>
            <w:shd w:val="clear" w:color="auto" w:fill="D9F2D0"/>
          </w:tcPr>
          <w:p w14:paraId="5217E416" w14:textId="77777777" w:rsidR="00050FA2" w:rsidRPr="00910651" w:rsidRDefault="00050FA2" w:rsidP="00A902EB">
            <w:pPr>
              <w:jc w:val="center"/>
              <w:rPr>
                <w:b/>
              </w:rPr>
            </w:pPr>
            <w:r w:rsidRPr="00910651">
              <w:rPr>
                <w:b/>
              </w:rPr>
              <w:t>λ</w:t>
            </w:r>
          </w:p>
        </w:tc>
        <w:tc>
          <w:tcPr>
            <w:tcW w:w="2694" w:type="dxa"/>
            <w:shd w:val="clear" w:color="auto" w:fill="D9F2D0"/>
          </w:tcPr>
          <w:p w14:paraId="799602AB" w14:textId="77777777" w:rsidR="00050FA2" w:rsidRPr="00910651" w:rsidRDefault="00050FA2" w:rsidP="00A902EB">
            <w:pPr>
              <w:jc w:val="center"/>
              <w:rPr>
                <w:b/>
              </w:rPr>
            </w:pPr>
            <w:r w:rsidRPr="00910651">
              <w:rPr>
                <w:b/>
              </w:rPr>
              <w:t>Calibration range (µg/L)</w:t>
            </w:r>
          </w:p>
        </w:tc>
      </w:tr>
      <w:tr w:rsidR="00050FA2" w:rsidRPr="00910651" w14:paraId="53958228" w14:textId="77777777" w:rsidTr="00A902EB">
        <w:trPr>
          <w:jc w:val="center"/>
        </w:trPr>
        <w:tc>
          <w:tcPr>
            <w:tcW w:w="1129" w:type="dxa"/>
          </w:tcPr>
          <w:p w14:paraId="6967C535" w14:textId="77777777" w:rsidR="00050FA2" w:rsidRPr="00910651" w:rsidRDefault="00050FA2" w:rsidP="00A902EB">
            <w:pPr>
              <w:jc w:val="center"/>
            </w:pPr>
            <w:r w:rsidRPr="00910651">
              <w:t>Al</w:t>
            </w:r>
          </w:p>
        </w:tc>
        <w:tc>
          <w:tcPr>
            <w:tcW w:w="1134" w:type="dxa"/>
          </w:tcPr>
          <w:p w14:paraId="4D057CB0" w14:textId="77777777" w:rsidR="00050FA2" w:rsidRPr="00910651" w:rsidRDefault="00050FA2" w:rsidP="00A902EB">
            <w:pPr>
              <w:jc w:val="center"/>
            </w:pPr>
            <w:r w:rsidRPr="00910651">
              <w:t>308.215</w:t>
            </w:r>
          </w:p>
        </w:tc>
        <w:tc>
          <w:tcPr>
            <w:tcW w:w="2694" w:type="dxa"/>
            <w:vMerge w:val="restart"/>
            <w:vAlign w:val="center"/>
          </w:tcPr>
          <w:p w14:paraId="668D3E22" w14:textId="77777777" w:rsidR="00050FA2" w:rsidRPr="00910651" w:rsidRDefault="00050FA2" w:rsidP="00A902EB">
            <w:pPr>
              <w:jc w:val="center"/>
            </w:pPr>
            <w:r w:rsidRPr="00910651">
              <w:t>0-10000</w:t>
            </w:r>
          </w:p>
        </w:tc>
      </w:tr>
      <w:tr w:rsidR="00050FA2" w:rsidRPr="00910651" w14:paraId="28E709C8" w14:textId="77777777" w:rsidTr="00A902EB">
        <w:trPr>
          <w:jc w:val="center"/>
        </w:trPr>
        <w:tc>
          <w:tcPr>
            <w:tcW w:w="1129" w:type="dxa"/>
          </w:tcPr>
          <w:p w14:paraId="29AF1046" w14:textId="77777777" w:rsidR="00050FA2" w:rsidRPr="00910651" w:rsidRDefault="00050FA2" w:rsidP="00A902EB">
            <w:pPr>
              <w:jc w:val="center"/>
            </w:pPr>
            <w:r w:rsidRPr="00910651">
              <w:t>Na</w:t>
            </w:r>
          </w:p>
        </w:tc>
        <w:tc>
          <w:tcPr>
            <w:tcW w:w="1134" w:type="dxa"/>
          </w:tcPr>
          <w:p w14:paraId="3C101BCE" w14:textId="77777777" w:rsidR="00050FA2" w:rsidRPr="00910651" w:rsidRDefault="00050FA2" w:rsidP="00A902EB">
            <w:pPr>
              <w:jc w:val="center"/>
            </w:pPr>
            <w:r w:rsidRPr="00910651">
              <w:t>589.592</w:t>
            </w:r>
          </w:p>
        </w:tc>
        <w:tc>
          <w:tcPr>
            <w:tcW w:w="2694" w:type="dxa"/>
            <w:vMerge/>
          </w:tcPr>
          <w:p w14:paraId="51078786" w14:textId="77777777" w:rsidR="00050FA2" w:rsidRPr="00910651" w:rsidRDefault="00050FA2" w:rsidP="00A902EB"/>
        </w:tc>
      </w:tr>
      <w:tr w:rsidR="00050FA2" w:rsidRPr="00910651" w14:paraId="7CC11659" w14:textId="77777777" w:rsidTr="00A902EB">
        <w:trPr>
          <w:jc w:val="center"/>
        </w:trPr>
        <w:tc>
          <w:tcPr>
            <w:tcW w:w="1129" w:type="dxa"/>
          </w:tcPr>
          <w:p w14:paraId="426EF8ED" w14:textId="77777777" w:rsidR="00050FA2" w:rsidRPr="00910651" w:rsidRDefault="00050FA2" w:rsidP="00A902EB">
            <w:pPr>
              <w:jc w:val="center"/>
            </w:pPr>
            <w:r w:rsidRPr="00910651">
              <w:t>Mg</w:t>
            </w:r>
          </w:p>
        </w:tc>
        <w:tc>
          <w:tcPr>
            <w:tcW w:w="1134" w:type="dxa"/>
          </w:tcPr>
          <w:p w14:paraId="36506993" w14:textId="77777777" w:rsidR="00050FA2" w:rsidRPr="00910651" w:rsidRDefault="00050FA2" w:rsidP="00A902EB">
            <w:pPr>
              <w:jc w:val="center"/>
            </w:pPr>
            <w:r w:rsidRPr="00910651">
              <w:t>258.213</w:t>
            </w:r>
          </w:p>
        </w:tc>
        <w:tc>
          <w:tcPr>
            <w:tcW w:w="2694" w:type="dxa"/>
            <w:vMerge/>
          </w:tcPr>
          <w:p w14:paraId="45EEFF33" w14:textId="77777777" w:rsidR="00050FA2" w:rsidRPr="00910651" w:rsidRDefault="00050FA2" w:rsidP="00A902EB"/>
        </w:tc>
      </w:tr>
      <w:tr w:rsidR="00050FA2" w:rsidRPr="00910651" w14:paraId="79181D16" w14:textId="77777777" w:rsidTr="00A902EB">
        <w:trPr>
          <w:jc w:val="center"/>
        </w:trPr>
        <w:tc>
          <w:tcPr>
            <w:tcW w:w="1129" w:type="dxa"/>
          </w:tcPr>
          <w:p w14:paraId="168357D6" w14:textId="77777777" w:rsidR="00050FA2" w:rsidRPr="00910651" w:rsidRDefault="00050FA2" w:rsidP="00A902EB">
            <w:pPr>
              <w:jc w:val="center"/>
            </w:pPr>
            <w:r w:rsidRPr="00910651">
              <w:t>Ti</w:t>
            </w:r>
          </w:p>
        </w:tc>
        <w:tc>
          <w:tcPr>
            <w:tcW w:w="1134" w:type="dxa"/>
          </w:tcPr>
          <w:p w14:paraId="47CD57D3" w14:textId="77777777" w:rsidR="00050FA2" w:rsidRPr="00910651" w:rsidRDefault="00050FA2" w:rsidP="00A902EB">
            <w:pPr>
              <w:jc w:val="center"/>
            </w:pPr>
            <w:r w:rsidRPr="00910651">
              <w:t>337.279</w:t>
            </w:r>
          </w:p>
        </w:tc>
        <w:tc>
          <w:tcPr>
            <w:tcW w:w="2694" w:type="dxa"/>
            <w:vMerge/>
          </w:tcPr>
          <w:p w14:paraId="2BAF2480" w14:textId="77777777" w:rsidR="00050FA2" w:rsidRPr="00910651" w:rsidRDefault="00050FA2" w:rsidP="00A902EB"/>
        </w:tc>
      </w:tr>
      <w:tr w:rsidR="00050FA2" w:rsidRPr="00910651" w14:paraId="5112DC6A" w14:textId="77777777" w:rsidTr="00A902EB">
        <w:trPr>
          <w:jc w:val="center"/>
        </w:trPr>
        <w:tc>
          <w:tcPr>
            <w:tcW w:w="1129" w:type="dxa"/>
          </w:tcPr>
          <w:p w14:paraId="2D20C5FC" w14:textId="77777777" w:rsidR="00050FA2" w:rsidRPr="00910651" w:rsidRDefault="00050FA2" w:rsidP="00A902EB">
            <w:pPr>
              <w:jc w:val="center"/>
            </w:pPr>
            <w:r w:rsidRPr="00910651">
              <w:t>K</w:t>
            </w:r>
          </w:p>
        </w:tc>
        <w:tc>
          <w:tcPr>
            <w:tcW w:w="1134" w:type="dxa"/>
          </w:tcPr>
          <w:p w14:paraId="5D582B16" w14:textId="77777777" w:rsidR="00050FA2" w:rsidRPr="00910651" w:rsidRDefault="00050FA2" w:rsidP="00A902EB">
            <w:pPr>
              <w:jc w:val="center"/>
            </w:pPr>
            <w:r w:rsidRPr="00910651">
              <w:t>766.490</w:t>
            </w:r>
          </w:p>
        </w:tc>
        <w:tc>
          <w:tcPr>
            <w:tcW w:w="2694" w:type="dxa"/>
            <w:vMerge/>
          </w:tcPr>
          <w:p w14:paraId="1A79E354" w14:textId="77777777" w:rsidR="00050FA2" w:rsidRPr="00910651" w:rsidRDefault="00050FA2" w:rsidP="00A902EB"/>
        </w:tc>
      </w:tr>
      <w:tr w:rsidR="00050FA2" w:rsidRPr="00910651" w14:paraId="44FDF944" w14:textId="77777777" w:rsidTr="00A902EB">
        <w:trPr>
          <w:jc w:val="center"/>
        </w:trPr>
        <w:tc>
          <w:tcPr>
            <w:tcW w:w="1129" w:type="dxa"/>
          </w:tcPr>
          <w:p w14:paraId="5B9EB29C" w14:textId="77777777" w:rsidR="00050FA2" w:rsidRPr="00910651" w:rsidRDefault="00050FA2" w:rsidP="00A902EB">
            <w:pPr>
              <w:jc w:val="center"/>
            </w:pPr>
            <w:r w:rsidRPr="00910651">
              <w:t>Ca</w:t>
            </w:r>
          </w:p>
        </w:tc>
        <w:tc>
          <w:tcPr>
            <w:tcW w:w="1134" w:type="dxa"/>
          </w:tcPr>
          <w:p w14:paraId="7236FE49" w14:textId="77777777" w:rsidR="00050FA2" w:rsidRPr="00910651" w:rsidRDefault="00050FA2" w:rsidP="00A902EB">
            <w:pPr>
              <w:jc w:val="center"/>
            </w:pPr>
            <w:r w:rsidRPr="00910651">
              <w:t>317.933</w:t>
            </w:r>
          </w:p>
        </w:tc>
        <w:tc>
          <w:tcPr>
            <w:tcW w:w="2694" w:type="dxa"/>
            <w:vMerge/>
          </w:tcPr>
          <w:p w14:paraId="42C61AC6" w14:textId="77777777" w:rsidR="00050FA2" w:rsidRPr="00910651" w:rsidRDefault="00050FA2" w:rsidP="00A902EB"/>
        </w:tc>
      </w:tr>
      <w:tr w:rsidR="00050FA2" w:rsidRPr="00910651" w14:paraId="7A0CACE8" w14:textId="77777777" w:rsidTr="00A902EB">
        <w:trPr>
          <w:jc w:val="center"/>
        </w:trPr>
        <w:tc>
          <w:tcPr>
            <w:tcW w:w="1129" w:type="dxa"/>
          </w:tcPr>
          <w:p w14:paraId="5E508FA6" w14:textId="77777777" w:rsidR="00050FA2" w:rsidRPr="00910651" w:rsidRDefault="00050FA2" w:rsidP="00A902EB">
            <w:pPr>
              <w:jc w:val="center"/>
            </w:pPr>
            <w:r w:rsidRPr="00910651">
              <w:t>Fe</w:t>
            </w:r>
          </w:p>
        </w:tc>
        <w:tc>
          <w:tcPr>
            <w:tcW w:w="1134" w:type="dxa"/>
          </w:tcPr>
          <w:p w14:paraId="53A3CD5D" w14:textId="77777777" w:rsidR="00050FA2" w:rsidRPr="00910651" w:rsidRDefault="00050FA2" w:rsidP="00A902EB">
            <w:pPr>
              <w:jc w:val="center"/>
            </w:pPr>
            <w:r w:rsidRPr="00910651">
              <w:t>238.204</w:t>
            </w:r>
          </w:p>
        </w:tc>
        <w:tc>
          <w:tcPr>
            <w:tcW w:w="2694" w:type="dxa"/>
            <w:vMerge/>
          </w:tcPr>
          <w:p w14:paraId="4E0A3E81" w14:textId="77777777" w:rsidR="00050FA2" w:rsidRPr="00910651" w:rsidRDefault="00050FA2" w:rsidP="00A902EB"/>
        </w:tc>
      </w:tr>
      <w:tr w:rsidR="00050FA2" w:rsidRPr="00910651" w14:paraId="5D1D970E" w14:textId="77777777" w:rsidTr="00A902EB">
        <w:trPr>
          <w:jc w:val="center"/>
        </w:trPr>
        <w:tc>
          <w:tcPr>
            <w:tcW w:w="1129" w:type="dxa"/>
          </w:tcPr>
          <w:p w14:paraId="53523C83" w14:textId="77777777" w:rsidR="00050FA2" w:rsidRPr="00910651" w:rsidRDefault="00050FA2" w:rsidP="00A902EB">
            <w:pPr>
              <w:jc w:val="center"/>
            </w:pPr>
            <w:r w:rsidRPr="00910651">
              <w:t>Si</w:t>
            </w:r>
          </w:p>
        </w:tc>
        <w:tc>
          <w:tcPr>
            <w:tcW w:w="1134" w:type="dxa"/>
          </w:tcPr>
          <w:p w14:paraId="14E84DBA" w14:textId="77777777" w:rsidR="00050FA2" w:rsidRPr="00910651" w:rsidRDefault="00050FA2" w:rsidP="00A902EB">
            <w:pPr>
              <w:jc w:val="center"/>
            </w:pPr>
            <w:r w:rsidRPr="00910651">
              <w:t>252.851</w:t>
            </w:r>
          </w:p>
        </w:tc>
        <w:tc>
          <w:tcPr>
            <w:tcW w:w="2694" w:type="dxa"/>
            <w:vMerge/>
          </w:tcPr>
          <w:p w14:paraId="2EFA8DC5" w14:textId="77777777" w:rsidR="00050FA2" w:rsidRPr="00910651" w:rsidRDefault="00050FA2" w:rsidP="00A902EB"/>
        </w:tc>
      </w:tr>
      <w:tr w:rsidR="00050FA2" w:rsidRPr="00910651" w14:paraId="17806EF7" w14:textId="77777777" w:rsidTr="00A902EB">
        <w:trPr>
          <w:jc w:val="center"/>
        </w:trPr>
        <w:tc>
          <w:tcPr>
            <w:tcW w:w="1129" w:type="dxa"/>
          </w:tcPr>
          <w:p w14:paraId="5338E1C8" w14:textId="77777777" w:rsidR="00050FA2" w:rsidRPr="00910651" w:rsidRDefault="00050FA2" w:rsidP="00A902EB">
            <w:pPr>
              <w:jc w:val="center"/>
            </w:pPr>
            <w:r w:rsidRPr="00910651">
              <w:t>Cr</w:t>
            </w:r>
          </w:p>
        </w:tc>
        <w:tc>
          <w:tcPr>
            <w:tcW w:w="1134" w:type="dxa"/>
          </w:tcPr>
          <w:p w14:paraId="483A8C7F" w14:textId="77777777" w:rsidR="00050FA2" w:rsidRPr="00910651" w:rsidRDefault="00050FA2" w:rsidP="00A902EB">
            <w:pPr>
              <w:jc w:val="center"/>
            </w:pPr>
            <w:r w:rsidRPr="00910651">
              <w:t>205.560</w:t>
            </w:r>
          </w:p>
        </w:tc>
        <w:tc>
          <w:tcPr>
            <w:tcW w:w="2694" w:type="dxa"/>
            <w:vMerge w:val="restart"/>
            <w:vAlign w:val="center"/>
          </w:tcPr>
          <w:p w14:paraId="092CD1FC" w14:textId="77777777" w:rsidR="00050FA2" w:rsidRPr="00910651" w:rsidRDefault="00050FA2" w:rsidP="00A902EB">
            <w:pPr>
              <w:jc w:val="center"/>
            </w:pPr>
            <w:r w:rsidRPr="00910651">
              <w:t>0-500</w:t>
            </w:r>
          </w:p>
        </w:tc>
      </w:tr>
      <w:tr w:rsidR="00050FA2" w:rsidRPr="00910651" w14:paraId="53DF3578" w14:textId="77777777" w:rsidTr="00A902EB">
        <w:trPr>
          <w:jc w:val="center"/>
        </w:trPr>
        <w:tc>
          <w:tcPr>
            <w:tcW w:w="1129" w:type="dxa"/>
          </w:tcPr>
          <w:p w14:paraId="352DB8F9" w14:textId="77777777" w:rsidR="00050FA2" w:rsidRPr="00910651" w:rsidRDefault="00050FA2" w:rsidP="00A902EB">
            <w:pPr>
              <w:jc w:val="center"/>
            </w:pPr>
            <w:r w:rsidRPr="00910651">
              <w:t>Ni</w:t>
            </w:r>
          </w:p>
        </w:tc>
        <w:tc>
          <w:tcPr>
            <w:tcW w:w="1134" w:type="dxa"/>
          </w:tcPr>
          <w:p w14:paraId="361DE79F" w14:textId="77777777" w:rsidR="00050FA2" w:rsidRPr="00910651" w:rsidRDefault="00050FA2" w:rsidP="00A902EB">
            <w:pPr>
              <w:jc w:val="center"/>
            </w:pPr>
            <w:r w:rsidRPr="00910651">
              <w:t>231.604</w:t>
            </w:r>
          </w:p>
        </w:tc>
        <w:tc>
          <w:tcPr>
            <w:tcW w:w="2694" w:type="dxa"/>
            <w:vMerge/>
          </w:tcPr>
          <w:p w14:paraId="344B9D52" w14:textId="77777777" w:rsidR="00050FA2" w:rsidRPr="00910651" w:rsidRDefault="00050FA2" w:rsidP="00A902EB"/>
        </w:tc>
      </w:tr>
      <w:tr w:rsidR="00050FA2" w:rsidRPr="00910651" w14:paraId="6F3FCAAE" w14:textId="77777777" w:rsidTr="00A902EB">
        <w:trPr>
          <w:jc w:val="center"/>
        </w:trPr>
        <w:tc>
          <w:tcPr>
            <w:tcW w:w="1129" w:type="dxa"/>
          </w:tcPr>
          <w:p w14:paraId="35131EE7" w14:textId="77777777" w:rsidR="00050FA2" w:rsidRPr="00910651" w:rsidRDefault="00050FA2" w:rsidP="00A902EB">
            <w:pPr>
              <w:jc w:val="center"/>
            </w:pPr>
            <w:r w:rsidRPr="00910651">
              <w:t>Mn</w:t>
            </w:r>
          </w:p>
        </w:tc>
        <w:tc>
          <w:tcPr>
            <w:tcW w:w="1134" w:type="dxa"/>
          </w:tcPr>
          <w:p w14:paraId="39954362" w14:textId="77777777" w:rsidR="00050FA2" w:rsidRPr="00910651" w:rsidRDefault="00050FA2" w:rsidP="00A902EB">
            <w:pPr>
              <w:jc w:val="center"/>
            </w:pPr>
            <w:r w:rsidRPr="00910651">
              <w:t>259.372</w:t>
            </w:r>
          </w:p>
        </w:tc>
        <w:tc>
          <w:tcPr>
            <w:tcW w:w="2694" w:type="dxa"/>
            <w:vMerge/>
          </w:tcPr>
          <w:p w14:paraId="2E46DAAC" w14:textId="77777777" w:rsidR="00050FA2" w:rsidRPr="00910651" w:rsidRDefault="00050FA2" w:rsidP="00A902EB"/>
        </w:tc>
      </w:tr>
      <w:tr w:rsidR="00050FA2" w:rsidRPr="00910651" w14:paraId="38DB79B2" w14:textId="77777777" w:rsidTr="00A902EB">
        <w:trPr>
          <w:jc w:val="center"/>
        </w:trPr>
        <w:tc>
          <w:tcPr>
            <w:tcW w:w="1129" w:type="dxa"/>
          </w:tcPr>
          <w:p w14:paraId="7D4F5903" w14:textId="77777777" w:rsidR="00050FA2" w:rsidRPr="00910651" w:rsidRDefault="00050FA2" w:rsidP="00A902EB">
            <w:pPr>
              <w:jc w:val="center"/>
            </w:pPr>
            <w:r w:rsidRPr="00910651">
              <w:t>Sr</w:t>
            </w:r>
          </w:p>
        </w:tc>
        <w:tc>
          <w:tcPr>
            <w:tcW w:w="1134" w:type="dxa"/>
          </w:tcPr>
          <w:p w14:paraId="6816C631" w14:textId="77777777" w:rsidR="00050FA2" w:rsidRPr="00910651" w:rsidRDefault="00050FA2" w:rsidP="00A902EB">
            <w:pPr>
              <w:jc w:val="center"/>
            </w:pPr>
            <w:r w:rsidRPr="00910651">
              <w:t>421.552</w:t>
            </w:r>
          </w:p>
        </w:tc>
        <w:tc>
          <w:tcPr>
            <w:tcW w:w="2694" w:type="dxa"/>
            <w:vMerge/>
          </w:tcPr>
          <w:p w14:paraId="4CBE3A9D" w14:textId="77777777" w:rsidR="00050FA2" w:rsidRPr="00910651" w:rsidRDefault="00050FA2" w:rsidP="00A902EB"/>
        </w:tc>
      </w:tr>
      <w:tr w:rsidR="00050FA2" w:rsidRPr="00910651" w14:paraId="7DE1C626" w14:textId="77777777" w:rsidTr="00A902EB">
        <w:trPr>
          <w:jc w:val="center"/>
        </w:trPr>
        <w:tc>
          <w:tcPr>
            <w:tcW w:w="1129" w:type="dxa"/>
          </w:tcPr>
          <w:p w14:paraId="56D86147" w14:textId="77777777" w:rsidR="00050FA2" w:rsidRPr="00910651" w:rsidRDefault="00050FA2" w:rsidP="00A902EB">
            <w:pPr>
              <w:jc w:val="center"/>
            </w:pPr>
            <w:r w:rsidRPr="00910651">
              <w:t>Cu</w:t>
            </w:r>
          </w:p>
        </w:tc>
        <w:tc>
          <w:tcPr>
            <w:tcW w:w="1134" w:type="dxa"/>
          </w:tcPr>
          <w:p w14:paraId="4618C2CD" w14:textId="77777777" w:rsidR="00050FA2" w:rsidRPr="00910651" w:rsidRDefault="00050FA2" w:rsidP="00A902EB">
            <w:pPr>
              <w:jc w:val="center"/>
            </w:pPr>
            <w:r w:rsidRPr="00910651">
              <w:t>324.752</w:t>
            </w:r>
          </w:p>
        </w:tc>
        <w:tc>
          <w:tcPr>
            <w:tcW w:w="2694" w:type="dxa"/>
            <w:vMerge/>
          </w:tcPr>
          <w:p w14:paraId="3EF5FC6D" w14:textId="77777777" w:rsidR="00050FA2" w:rsidRPr="00910651" w:rsidRDefault="00050FA2" w:rsidP="00A902EB"/>
        </w:tc>
      </w:tr>
      <w:tr w:rsidR="00050FA2" w:rsidRPr="00910651" w14:paraId="00271CCC" w14:textId="77777777" w:rsidTr="00A902EB">
        <w:trPr>
          <w:jc w:val="center"/>
        </w:trPr>
        <w:tc>
          <w:tcPr>
            <w:tcW w:w="1129" w:type="dxa"/>
          </w:tcPr>
          <w:p w14:paraId="597B96DD" w14:textId="77777777" w:rsidR="00050FA2" w:rsidRPr="00910651" w:rsidRDefault="00050FA2" w:rsidP="00A902EB">
            <w:pPr>
              <w:jc w:val="center"/>
            </w:pPr>
            <w:r w:rsidRPr="00910651">
              <w:t>Zn</w:t>
            </w:r>
          </w:p>
        </w:tc>
        <w:tc>
          <w:tcPr>
            <w:tcW w:w="1134" w:type="dxa"/>
          </w:tcPr>
          <w:p w14:paraId="75578E40" w14:textId="77777777" w:rsidR="00050FA2" w:rsidRPr="00910651" w:rsidRDefault="00050FA2" w:rsidP="00A902EB">
            <w:pPr>
              <w:jc w:val="center"/>
            </w:pPr>
            <w:r w:rsidRPr="00910651">
              <w:t>206.200</w:t>
            </w:r>
          </w:p>
        </w:tc>
        <w:tc>
          <w:tcPr>
            <w:tcW w:w="2694" w:type="dxa"/>
            <w:vMerge/>
          </w:tcPr>
          <w:p w14:paraId="3AF911A8" w14:textId="77777777" w:rsidR="00050FA2" w:rsidRPr="00910651" w:rsidRDefault="00050FA2" w:rsidP="00A902EB"/>
        </w:tc>
      </w:tr>
      <w:tr w:rsidR="00050FA2" w:rsidRPr="00910651" w14:paraId="623C0A25" w14:textId="77777777" w:rsidTr="00A902EB">
        <w:trPr>
          <w:jc w:val="center"/>
        </w:trPr>
        <w:tc>
          <w:tcPr>
            <w:tcW w:w="1129" w:type="dxa"/>
          </w:tcPr>
          <w:p w14:paraId="77886B83" w14:textId="77777777" w:rsidR="00050FA2" w:rsidRPr="00910651" w:rsidRDefault="00050FA2" w:rsidP="00A902EB">
            <w:pPr>
              <w:jc w:val="center"/>
            </w:pPr>
            <w:r w:rsidRPr="00910651">
              <w:t>Ba</w:t>
            </w:r>
          </w:p>
        </w:tc>
        <w:tc>
          <w:tcPr>
            <w:tcW w:w="1134" w:type="dxa"/>
          </w:tcPr>
          <w:p w14:paraId="479183A4" w14:textId="77777777" w:rsidR="00050FA2" w:rsidRPr="00910651" w:rsidRDefault="00050FA2" w:rsidP="00A902EB">
            <w:pPr>
              <w:jc w:val="center"/>
            </w:pPr>
            <w:r w:rsidRPr="00910651">
              <w:t>233.527</w:t>
            </w:r>
          </w:p>
        </w:tc>
        <w:tc>
          <w:tcPr>
            <w:tcW w:w="2694" w:type="dxa"/>
            <w:vMerge/>
          </w:tcPr>
          <w:p w14:paraId="347406F7" w14:textId="77777777" w:rsidR="00050FA2" w:rsidRPr="00910651" w:rsidRDefault="00050FA2" w:rsidP="00A902EB"/>
        </w:tc>
      </w:tr>
      <w:tr w:rsidR="00050FA2" w:rsidRPr="00910651" w14:paraId="695182E1" w14:textId="77777777" w:rsidTr="00A902EB">
        <w:trPr>
          <w:jc w:val="center"/>
        </w:trPr>
        <w:tc>
          <w:tcPr>
            <w:tcW w:w="1129" w:type="dxa"/>
          </w:tcPr>
          <w:p w14:paraId="345E142B" w14:textId="77777777" w:rsidR="00050FA2" w:rsidRPr="00910651" w:rsidRDefault="00050FA2" w:rsidP="00A902EB">
            <w:pPr>
              <w:jc w:val="center"/>
            </w:pPr>
            <w:r w:rsidRPr="00910651">
              <w:t>Pb</w:t>
            </w:r>
          </w:p>
        </w:tc>
        <w:tc>
          <w:tcPr>
            <w:tcW w:w="1134" w:type="dxa"/>
          </w:tcPr>
          <w:p w14:paraId="18389096" w14:textId="77777777" w:rsidR="00050FA2" w:rsidRPr="00910651" w:rsidRDefault="00050FA2" w:rsidP="00A902EB">
            <w:pPr>
              <w:jc w:val="center"/>
            </w:pPr>
            <w:r w:rsidRPr="00910651">
              <w:t>217.000</w:t>
            </w:r>
          </w:p>
        </w:tc>
        <w:tc>
          <w:tcPr>
            <w:tcW w:w="2694" w:type="dxa"/>
            <w:vMerge/>
          </w:tcPr>
          <w:p w14:paraId="4D0F9199" w14:textId="77777777" w:rsidR="00050FA2" w:rsidRPr="00910651" w:rsidRDefault="00050FA2" w:rsidP="00A902EB"/>
        </w:tc>
      </w:tr>
    </w:tbl>
    <w:bookmarkEnd w:id="6"/>
    <w:p w14:paraId="7716EBF1" w14:textId="77777777" w:rsidR="00050FA2" w:rsidRPr="00910651" w:rsidRDefault="00050FA2" w:rsidP="00050FA2">
      <w:pPr>
        <w:jc w:val="center"/>
        <w:rPr>
          <w:bCs/>
          <w:i/>
        </w:rPr>
      </w:pPr>
      <w:r w:rsidRPr="00910651">
        <w:rPr>
          <w:bCs/>
          <w:i/>
        </w:rPr>
        <w:t>Tab. 3</w:t>
      </w:r>
      <w:proofErr w:type="gramStart"/>
      <w:r w:rsidRPr="00910651">
        <w:rPr>
          <w:bCs/>
          <w:i/>
        </w:rPr>
        <w:t xml:space="preserve">.  </w:t>
      </w:r>
      <w:bookmarkStart w:id="7" w:name="_Hlk192152979"/>
      <w:proofErr w:type="gramEnd"/>
      <w:r w:rsidRPr="00910651">
        <w:rPr>
          <w:bCs/>
          <w:i/>
        </w:rPr>
        <w:t>Elements selected for the chemical analysis and relative parameters used during the acquisition.</w:t>
      </w:r>
      <w:bookmarkEnd w:id="7"/>
    </w:p>
    <w:p w14:paraId="45668692" w14:textId="77777777" w:rsidR="00050FA2" w:rsidRDefault="00050FA2" w:rsidP="00050FA2">
      <w:pPr>
        <w:rPr>
          <w:bCs/>
          <w:color w:val="C00000"/>
        </w:rPr>
      </w:pPr>
    </w:p>
    <w:p w14:paraId="094558FF" w14:textId="77777777" w:rsidR="00050FA2" w:rsidRPr="008148E6" w:rsidRDefault="00050FA2" w:rsidP="00050FA2">
      <w:pPr>
        <w:rPr>
          <w:color w:val="000000"/>
        </w:rPr>
      </w:pPr>
      <w:r w:rsidRPr="00BE7918">
        <w:rPr>
          <w:bCs/>
          <w:color w:val="000000"/>
        </w:rPr>
        <w:t>To validate the analytical procedure for the quantification of major and minor elements, a certified basalt standard (Montana II Soil, NIST SRM2711a) was used to optimize the mineralization and analysis conditions</w:t>
      </w:r>
      <w:r w:rsidRPr="008148E6">
        <w:rPr>
          <w:color w:val="000000"/>
        </w:rPr>
        <w:t xml:space="preserve">. The </w:t>
      </w:r>
      <w:r w:rsidRPr="00DF5729">
        <w:rPr>
          <w:color w:val="FFC000"/>
        </w:rPr>
        <w:t>Tab. 4</w:t>
      </w:r>
      <w:r w:rsidRPr="008148E6">
        <w:rPr>
          <w:color w:val="000000"/>
        </w:rPr>
        <w:t xml:space="preserve"> shows the concentrations of chemical elements and their relative standard deviations in percent.</w:t>
      </w:r>
    </w:p>
    <w:p w14:paraId="4473ECD4" w14:textId="77777777" w:rsidR="00050FA2" w:rsidRPr="00AA2432" w:rsidRDefault="00050FA2" w:rsidP="00050FA2">
      <w:pPr>
        <w:rPr>
          <w:color w:val="C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704"/>
        <w:gridCol w:w="496"/>
        <w:gridCol w:w="496"/>
        <w:gridCol w:w="498"/>
        <w:gridCol w:w="498"/>
        <w:gridCol w:w="418"/>
        <w:gridCol w:w="498"/>
        <w:gridCol w:w="498"/>
        <w:gridCol w:w="578"/>
        <w:gridCol w:w="498"/>
        <w:gridCol w:w="498"/>
        <w:gridCol w:w="538"/>
        <w:gridCol w:w="578"/>
        <w:gridCol w:w="423"/>
        <w:gridCol w:w="498"/>
        <w:gridCol w:w="498"/>
        <w:gridCol w:w="578"/>
      </w:tblGrid>
      <w:tr w:rsidR="00050FA2" w:rsidRPr="00CA3321" w14:paraId="60E1E124" w14:textId="77777777" w:rsidTr="00A902EB">
        <w:trPr>
          <w:trHeight w:val="300"/>
        </w:trPr>
        <w:tc>
          <w:tcPr>
            <w:tcW w:w="0" w:type="auto"/>
            <w:noWrap/>
            <w:hideMark/>
          </w:tcPr>
          <w:p w14:paraId="2E5151B7" w14:textId="77777777" w:rsidR="00050FA2" w:rsidRPr="00CA3321" w:rsidRDefault="00050FA2" w:rsidP="00A902EB">
            <w:pPr>
              <w:jc w:val="center"/>
              <w:rPr>
                <w:color w:val="000000"/>
                <w:sz w:val="16"/>
                <w:szCs w:val="16"/>
                <w:lang w:val="en-GB"/>
              </w:rPr>
            </w:pPr>
            <w:r w:rsidRPr="00CA3321">
              <w:rPr>
                <w:color w:val="000000"/>
                <w:sz w:val="16"/>
                <w:szCs w:val="16"/>
              </w:rPr>
              <w:t>Units</w:t>
            </w:r>
          </w:p>
        </w:tc>
        <w:tc>
          <w:tcPr>
            <w:tcW w:w="0" w:type="auto"/>
            <w:gridSpan w:val="9"/>
          </w:tcPr>
          <w:p w14:paraId="00B8A503" w14:textId="77777777" w:rsidR="00050FA2" w:rsidRPr="00CA3321" w:rsidRDefault="00050FA2" w:rsidP="00A902EB">
            <w:pPr>
              <w:jc w:val="center"/>
              <w:rPr>
                <w:color w:val="000000"/>
                <w:sz w:val="16"/>
                <w:szCs w:val="16"/>
              </w:rPr>
            </w:pPr>
            <w:r>
              <w:rPr>
                <w:color w:val="000000"/>
                <w:sz w:val="16"/>
                <w:szCs w:val="16"/>
              </w:rPr>
              <w:t>m</w:t>
            </w:r>
            <w:r w:rsidRPr="00CA3321">
              <w:rPr>
                <w:color w:val="000000"/>
                <w:sz w:val="16"/>
                <w:szCs w:val="16"/>
              </w:rPr>
              <w:t>g/gr</w:t>
            </w:r>
          </w:p>
        </w:tc>
        <w:tc>
          <w:tcPr>
            <w:tcW w:w="0" w:type="auto"/>
            <w:gridSpan w:val="8"/>
          </w:tcPr>
          <w:p w14:paraId="469F1B29" w14:textId="77777777" w:rsidR="00050FA2" w:rsidRPr="00CA3321" w:rsidRDefault="00050FA2" w:rsidP="00A902EB">
            <w:pPr>
              <w:jc w:val="center"/>
              <w:rPr>
                <w:color w:val="000000"/>
                <w:sz w:val="16"/>
                <w:szCs w:val="16"/>
              </w:rPr>
            </w:pPr>
            <w:r>
              <w:rPr>
                <w:color w:val="000000"/>
                <w:sz w:val="16"/>
                <w:szCs w:val="16"/>
              </w:rPr>
              <w:t>µg/gr</w:t>
            </w:r>
          </w:p>
        </w:tc>
      </w:tr>
      <w:tr w:rsidR="00050FA2" w:rsidRPr="00CA3321" w14:paraId="0A3BF4A1" w14:textId="77777777" w:rsidTr="00A902EB">
        <w:trPr>
          <w:trHeight w:val="300"/>
        </w:trPr>
        <w:tc>
          <w:tcPr>
            <w:tcW w:w="0" w:type="auto"/>
            <w:noWrap/>
            <w:hideMark/>
          </w:tcPr>
          <w:p w14:paraId="548700F0" w14:textId="77777777" w:rsidR="00050FA2" w:rsidRPr="00CA3321" w:rsidRDefault="00050FA2" w:rsidP="00A902EB">
            <w:pPr>
              <w:jc w:val="center"/>
              <w:rPr>
                <w:color w:val="000000"/>
                <w:sz w:val="16"/>
                <w:szCs w:val="16"/>
              </w:rPr>
            </w:pPr>
            <w:r w:rsidRPr="00CA3321">
              <w:rPr>
                <w:color w:val="000000"/>
                <w:sz w:val="16"/>
                <w:szCs w:val="16"/>
              </w:rPr>
              <w:t>Chemical element</w:t>
            </w:r>
          </w:p>
          <w:p w14:paraId="5A3BCF60" w14:textId="77777777" w:rsidR="00050FA2" w:rsidRPr="00CA3321" w:rsidRDefault="00050FA2" w:rsidP="00A902EB">
            <w:pPr>
              <w:rPr>
                <w:color w:val="000000"/>
                <w:sz w:val="16"/>
                <w:szCs w:val="16"/>
              </w:rPr>
            </w:pPr>
          </w:p>
        </w:tc>
        <w:tc>
          <w:tcPr>
            <w:tcW w:w="0" w:type="auto"/>
            <w:shd w:val="clear" w:color="auto" w:fill="D9F2D0"/>
          </w:tcPr>
          <w:p w14:paraId="438F8E0F" w14:textId="77777777" w:rsidR="00050FA2" w:rsidRPr="00CA3321" w:rsidRDefault="00050FA2" w:rsidP="00A902EB">
            <w:pPr>
              <w:jc w:val="center"/>
              <w:rPr>
                <w:b/>
                <w:bCs/>
                <w:color w:val="000000"/>
                <w:sz w:val="16"/>
                <w:szCs w:val="16"/>
              </w:rPr>
            </w:pPr>
          </w:p>
        </w:tc>
        <w:tc>
          <w:tcPr>
            <w:tcW w:w="425" w:type="dxa"/>
            <w:shd w:val="clear" w:color="auto" w:fill="D9F2D0"/>
            <w:hideMark/>
          </w:tcPr>
          <w:p w14:paraId="7549BCC6" w14:textId="77777777" w:rsidR="00050FA2" w:rsidRPr="00CA3321" w:rsidRDefault="00050FA2" w:rsidP="00A902EB">
            <w:pPr>
              <w:jc w:val="center"/>
              <w:rPr>
                <w:b/>
                <w:bCs/>
                <w:color w:val="000000"/>
                <w:sz w:val="16"/>
                <w:szCs w:val="16"/>
              </w:rPr>
            </w:pPr>
            <w:r w:rsidRPr="00CA3321">
              <w:rPr>
                <w:b/>
                <w:bCs/>
                <w:color w:val="000000"/>
                <w:sz w:val="16"/>
                <w:szCs w:val="16"/>
              </w:rPr>
              <w:t xml:space="preserve">Al </w:t>
            </w:r>
          </w:p>
        </w:tc>
        <w:tc>
          <w:tcPr>
            <w:tcW w:w="426" w:type="dxa"/>
            <w:shd w:val="clear" w:color="auto" w:fill="D9F2D0"/>
            <w:hideMark/>
          </w:tcPr>
          <w:p w14:paraId="28DBE447" w14:textId="77777777" w:rsidR="00050FA2" w:rsidRPr="00CA3321" w:rsidRDefault="00050FA2" w:rsidP="00A902EB">
            <w:pPr>
              <w:jc w:val="center"/>
              <w:rPr>
                <w:b/>
                <w:bCs/>
                <w:color w:val="000000"/>
                <w:sz w:val="16"/>
                <w:szCs w:val="16"/>
              </w:rPr>
            </w:pPr>
            <w:r w:rsidRPr="00CA3321">
              <w:rPr>
                <w:b/>
                <w:bCs/>
                <w:color w:val="000000"/>
                <w:sz w:val="16"/>
                <w:szCs w:val="16"/>
              </w:rPr>
              <w:t xml:space="preserve">Na </w:t>
            </w:r>
          </w:p>
        </w:tc>
        <w:tc>
          <w:tcPr>
            <w:tcW w:w="0" w:type="auto"/>
            <w:shd w:val="clear" w:color="auto" w:fill="D9F2D0"/>
            <w:hideMark/>
          </w:tcPr>
          <w:p w14:paraId="16D14473" w14:textId="77777777" w:rsidR="00050FA2" w:rsidRPr="00CA3321" w:rsidRDefault="00050FA2" w:rsidP="00A902EB">
            <w:pPr>
              <w:jc w:val="center"/>
              <w:rPr>
                <w:b/>
                <w:bCs/>
                <w:color w:val="000000"/>
                <w:sz w:val="16"/>
                <w:szCs w:val="16"/>
              </w:rPr>
            </w:pPr>
            <w:r w:rsidRPr="00CA3321">
              <w:rPr>
                <w:b/>
                <w:bCs/>
                <w:color w:val="000000"/>
                <w:sz w:val="16"/>
                <w:szCs w:val="16"/>
              </w:rPr>
              <w:t xml:space="preserve">Mg </w:t>
            </w:r>
          </w:p>
        </w:tc>
        <w:tc>
          <w:tcPr>
            <w:tcW w:w="0" w:type="auto"/>
            <w:shd w:val="clear" w:color="auto" w:fill="D9F2D0"/>
            <w:hideMark/>
          </w:tcPr>
          <w:p w14:paraId="753B9C48" w14:textId="77777777" w:rsidR="00050FA2" w:rsidRPr="00CA3321" w:rsidRDefault="00050FA2" w:rsidP="00A902EB">
            <w:pPr>
              <w:jc w:val="center"/>
              <w:rPr>
                <w:b/>
                <w:bCs/>
                <w:color w:val="000000"/>
                <w:sz w:val="16"/>
                <w:szCs w:val="16"/>
              </w:rPr>
            </w:pPr>
            <w:r w:rsidRPr="00CA3321">
              <w:rPr>
                <w:b/>
                <w:bCs/>
                <w:color w:val="000000"/>
                <w:sz w:val="16"/>
                <w:szCs w:val="16"/>
              </w:rPr>
              <w:t xml:space="preserve">Ti  </w:t>
            </w:r>
          </w:p>
        </w:tc>
        <w:tc>
          <w:tcPr>
            <w:tcW w:w="0" w:type="auto"/>
            <w:shd w:val="clear" w:color="auto" w:fill="D9F2D0"/>
            <w:hideMark/>
          </w:tcPr>
          <w:p w14:paraId="0AE77251" w14:textId="77777777" w:rsidR="00050FA2" w:rsidRPr="00CA3321" w:rsidRDefault="00050FA2" w:rsidP="00A902EB">
            <w:pPr>
              <w:jc w:val="center"/>
              <w:rPr>
                <w:b/>
                <w:bCs/>
                <w:color w:val="000000"/>
                <w:sz w:val="16"/>
                <w:szCs w:val="16"/>
              </w:rPr>
            </w:pPr>
            <w:r w:rsidRPr="00CA3321">
              <w:rPr>
                <w:b/>
                <w:bCs/>
                <w:color w:val="000000"/>
                <w:sz w:val="16"/>
                <w:szCs w:val="16"/>
              </w:rPr>
              <w:t xml:space="preserve">K </w:t>
            </w:r>
          </w:p>
        </w:tc>
        <w:tc>
          <w:tcPr>
            <w:tcW w:w="0" w:type="auto"/>
            <w:shd w:val="clear" w:color="auto" w:fill="D9F2D0"/>
            <w:hideMark/>
          </w:tcPr>
          <w:p w14:paraId="6C194026" w14:textId="77777777" w:rsidR="00050FA2" w:rsidRPr="00CA3321" w:rsidRDefault="00050FA2" w:rsidP="00A902EB">
            <w:pPr>
              <w:jc w:val="center"/>
              <w:rPr>
                <w:b/>
                <w:bCs/>
                <w:color w:val="000000"/>
                <w:sz w:val="16"/>
                <w:szCs w:val="16"/>
              </w:rPr>
            </w:pPr>
            <w:r w:rsidRPr="00CA3321">
              <w:rPr>
                <w:b/>
                <w:bCs/>
                <w:color w:val="000000"/>
                <w:sz w:val="16"/>
                <w:szCs w:val="16"/>
              </w:rPr>
              <w:t xml:space="preserve">Ca </w:t>
            </w:r>
          </w:p>
        </w:tc>
        <w:tc>
          <w:tcPr>
            <w:tcW w:w="0" w:type="auto"/>
            <w:shd w:val="clear" w:color="auto" w:fill="D9F2D0"/>
            <w:hideMark/>
          </w:tcPr>
          <w:p w14:paraId="1FBEF0E3" w14:textId="77777777" w:rsidR="00050FA2" w:rsidRPr="00CA3321" w:rsidRDefault="00050FA2" w:rsidP="00A902EB">
            <w:pPr>
              <w:jc w:val="center"/>
              <w:rPr>
                <w:b/>
                <w:bCs/>
                <w:color w:val="000000"/>
                <w:sz w:val="16"/>
                <w:szCs w:val="16"/>
              </w:rPr>
            </w:pPr>
            <w:r w:rsidRPr="00CA3321">
              <w:rPr>
                <w:b/>
                <w:bCs/>
                <w:color w:val="000000"/>
                <w:sz w:val="16"/>
                <w:szCs w:val="16"/>
              </w:rPr>
              <w:t xml:space="preserve">Fe </w:t>
            </w:r>
          </w:p>
        </w:tc>
        <w:tc>
          <w:tcPr>
            <w:tcW w:w="0" w:type="auto"/>
            <w:shd w:val="clear" w:color="auto" w:fill="D9F2D0"/>
            <w:hideMark/>
          </w:tcPr>
          <w:p w14:paraId="7B2BEA56" w14:textId="77777777" w:rsidR="00050FA2" w:rsidRPr="00CA3321" w:rsidRDefault="00050FA2" w:rsidP="00A902EB">
            <w:pPr>
              <w:jc w:val="center"/>
              <w:rPr>
                <w:b/>
                <w:bCs/>
                <w:color w:val="000000"/>
                <w:sz w:val="16"/>
                <w:szCs w:val="16"/>
              </w:rPr>
            </w:pPr>
            <w:r w:rsidRPr="00CA3321">
              <w:rPr>
                <w:b/>
                <w:bCs/>
                <w:color w:val="000000"/>
                <w:sz w:val="16"/>
                <w:szCs w:val="16"/>
              </w:rPr>
              <w:t>Si</w:t>
            </w:r>
          </w:p>
        </w:tc>
        <w:tc>
          <w:tcPr>
            <w:tcW w:w="0" w:type="auto"/>
            <w:shd w:val="clear" w:color="auto" w:fill="D9F2D0"/>
            <w:hideMark/>
          </w:tcPr>
          <w:p w14:paraId="5EC9D615" w14:textId="77777777" w:rsidR="00050FA2" w:rsidRPr="00CA3321" w:rsidRDefault="00050FA2" w:rsidP="00A902EB">
            <w:pPr>
              <w:jc w:val="center"/>
              <w:rPr>
                <w:b/>
                <w:bCs/>
                <w:color w:val="000000"/>
                <w:sz w:val="16"/>
                <w:szCs w:val="16"/>
              </w:rPr>
            </w:pPr>
            <w:r w:rsidRPr="00CA3321">
              <w:rPr>
                <w:b/>
                <w:bCs/>
                <w:color w:val="000000"/>
                <w:sz w:val="16"/>
                <w:szCs w:val="16"/>
              </w:rPr>
              <w:t xml:space="preserve">Cr </w:t>
            </w:r>
          </w:p>
        </w:tc>
        <w:tc>
          <w:tcPr>
            <w:tcW w:w="0" w:type="auto"/>
            <w:shd w:val="clear" w:color="auto" w:fill="D9F2D0"/>
            <w:hideMark/>
          </w:tcPr>
          <w:p w14:paraId="0026D2C0" w14:textId="77777777" w:rsidR="00050FA2" w:rsidRPr="00CA3321" w:rsidRDefault="00050FA2" w:rsidP="00A902EB">
            <w:pPr>
              <w:jc w:val="center"/>
              <w:rPr>
                <w:b/>
                <w:bCs/>
                <w:color w:val="000000"/>
                <w:sz w:val="16"/>
                <w:szCs w:val="16"/>
              </w:rPr>
            </w:pPr>
            <w:r w:rsidRPr="00CA3321">
              <w:rPr>
                <w:b/>
                <w:bCs/>
                <w:color w:val="000000"/>
                <w:sz w:val="16"/>
                <w:szCs w:val="16"/>
              </w:rPr>
              <w:t xml:space="preserve">Ni </w:t>
            </w:r>
          </w:p>
        </w:tc>
        <w:tc>
          <w:tcPr>
            <w:tcW w:w="0" w:type="auto"/>
            <w:shd w:val="clear" w:color="auto" w:fill="D9F2D0"/>
          </w:tcPr>
          <w:p w14:paraId="6C6FD189" w14:textId="77777777" w:rsidR="00050FA2" w:rsidRPr="00CA3321" w:rsidRDefault="00050FA2" w:rsidP="00A902EB">
            <w:pPr>
              <w:jc w:val="center"/>
              <w:rPr>
                <w:b/>
                <w:bCs/>
                <w:color w:val="000000"/>
                <w:sz w:val="16"/>
                <w:szCs w:val="16"/>
              </w:rPr>
            </w:pPr>
            <w:r>
              <w:rPr>
                <w:b/>
                <w:bCs/>
                <w:color w:val="000000"/>
                <w:sz w:val="16"/>
                <w:szCs w:val="16"/>
              </w:rPr>
              <w:t>Mn</w:t>
            </w:r>
          </w:p>
        </w:tc>
        <w:tc>
          <w:tcPr>
            <w:tcW w:w="0" w:type="auto"/>
            <w:shd w:val="clear" w:color="auto" w:fill="D9F2D0"/>
            <w:hideMark/>
          </w:tcPr>
          <w:p w14:paraId="18C6610C" w14:textId="77777777" w:rsidR="00050FA2" w:rsidRPr="00CA3321" w:rsidRDefault="00050FA2" w:rsidP="00A902EB">
            <w:pPr>
              <w:jc w:val="center"/>
              <w:rPr>
                <w:b/>
                <w:bCs/>
                <w:color w:val="000000"/>
                <w:sz w:val="16"/>
                <w:szCs w:val="16"/>
              </w:rPr>
            </w:pPr>
            <w:r w:rsidRPr="00CA3321">
              <w:rPr>
                <w:b/>
                <w:bCs/>
                <w:color w:val="000000"/>
                <w:sz w:val="16"/>
                <w:szCs w:val="16"/>
              </w:rPr>
              <w:t xml:space="preserve">Sr </w:t>
            </w:r>
          </w:p>
        </w:tc>
        <w:tc>
          <w:tcPr>
            <w:tcW w:w="0" w:type="auto"/>
            <w:shd w:val="clear" w:color="auto" w:fill="D9F2D0"/>
            <w:hideMark/>
          </w:tcPr>
          <w:p w14:paraId="0D85B6FE" w14:textId="77777777" w:rsidR="00050FA2" w:rsidRPr="00CA3321" w:rsidRDefault="00050FA2" w:rsidP="00A902EB">
            <w:pPr>
              <w:jc w:val="center"/>
              <w:rPr>
                <w:b/>
                <w:bCs/>
                <w:color w:val="000000"/>
                <w:sz w:val="16"/>
                <w:szCs w:val="16"/>
              </w:rPr>
            </w:pPr>
            <w:r w:rsidRPr="00CA3321">
              <w:rPr>
                <w:b/>
                <w:bCs/>
                <w:color w:val="000000"/>
                <w:sz w:val="16"/>
                <w:szCs w:val="16"/>
              </w:rPr>
              <w:t xml:space="preserve">Cu </w:t>
            </w:r>
          </w:p>
        </w:tc>
        <w:tc>
          <w:tcPr>
            <w:tcW w:w="0" w:type="auto"/>
            <w:shd w:val="clear" w:color="auto" w:fill="D9F2D0"/>
            <w:hideMark/>
          </w:tcPr>
          <w:p w14:paraId="5DC9F980" w14:textId="77777777" w:rsidR="00050FA2" w:rsidRPr="00CA3321" w:rsidRDefault="00050FA2" w:rsidP="00A902EB">
            <w:pPr>
              <w:jc w:val="center"/>
              <w:rPr>
                <w:b/>
                <w:bCs/>
                <w:color w:val="000000"/>
                <w:sz w:val="16"/>
                <w:szCs w:val="16"/>
              </w:rPr>
            </w:pPr>
            <w:r w:rsidRPr="00CA3321">
              <w:rPr>
                <w:b/>
                <w:bCs/>
                <w:color w:val="000000"/>
                <w:sz w:val="16"/>
                <w:szCs w:val="16"/>
              </w:rPr>
              <w:t xml:space="preserve">Zn </w:t>
            </w:r>
          </w:p>
        </w:tc>
        <w:tc>
          <w:tcPr>
            <w:tcW w:w="0" w:type="auto"/>
            <w:shd w:val="clear" w:color="auto" w:fill="D9F2D0"/>
            <w:hideMark/>
          </w:tcPr>
          <w:p w14:paraId="28758B6D" w14:textId="77777777" w:rsidR="00050FA2" w:rsidRPr="00CA3321" w:rsidRDefault="00050FA2" w:rsidP="00A902EB">
            <w:pPr>
              <w:jc w:val="center"/>
              <w:rPr>
                <w:b/>
                <w:bCs/>
                <w:color w:val="000000"/>
                <w:sz w:val="16"/>
                <w:szCs w:val="16"/>
              </w:rPr>
            </w:pPr>
            <w:r w:rsidRPr="00CA3321">
              <w:rPr>
                <w:b/>
                <w:bCs/>
                <w:color w:val="000000"/>
                <w:sz w:val="16"/>
                <w:szCs w:val="16"/>
              </w:rPr>
              <w:t xml:space="preserve">Ba </w:t>
            </w:r>
          </w:p>
        </w:tc>
        <w:tc>
          <w:tcPr>
            <w:tcW w:w="0" w:type="auto"/>
            <w:shd w:val="clear" w:color="auto" w:fill="D9F2D0"/>
            <w:hideMark/>
          </w:tcPr>
          <w:p w14:paraId="4072ABF7" w14:textId="77777777" w:rsidR="00050FA2" w:rsidRPr="00CA3321" w:rsidRDefault="00050FA2" w:rsidP="00A902EB">
            <w:pPr>
              <w:jc w:val="center"/>
              <w:rPr>
                <w:b/>
                <w:bCs/>
                <w:color w:val="000000"/>
                <w:sz w:val="16"/>
                <w:szCs w:val="16"/>
              </w:rPr>
            </w:pPr>
            <w:r w:rsidRPr="00CA3321">
              <w:rPr>
                <w:b/>
                <w:bCs/>
                <w:color w:val="000000"/>
                <w:sz w:val="16"/>
                <w:szCs w:val="16"/>
              </w:rPr>
              <w:t xml:space="preserve">Pb </w:t>
            </w:r>
          </w:p>
        </w:tc>
      </w:tr>
      <w:tr w:rsidR="00050FA2" w:rsidRPr="00CA3321" w14:paraId="0143995C" w14:textId="77777777" w:rsidTr="00A902EB">
        <w:trPr>
          <w:trHeight w:val="300"/>
        </w:trPr>
        <w:tc>
          <w:tcPr>
            <w:tcW w:w="0" w:type="auto"/>
            <w:vMerge w:val="restart"/>
            <w:noWrap/>
            <w:hideMark/>
          </w:tcPr>
          <w:p w14:paraId="39248C6C" w14:textId="77777777" w:rsidR="00050FA2" w:rsidRPr="00CA3321" w:rsidRDefault="00050FA2" w:rsidP="00A902EB">
            <w:pPr>
              <w:jc w:val="center"/>
              <w:rPr>
                <w:color w:val="000000"/>
                <w:sz w:val="16"/>
                <w:szCs w:val="16"/>
              </w:rPr>
            </w:pPr>
            <w:r w:rsidRPr="00CA3321">
              <w:rPr>
                <w:color w:val="000000"/>
                <w:sz w:val="16"/>
                <w:szCs w:val="16"/>
              </w:rPr>
              <w:t>JSC Mars-1</w:t>
            </w:r>
          </w:p>
        </w:tc>
        <w:tc>
          <w:tcPr>
            <w:tcW w:w="0" w:type="auto"/>
          </w:tcPr>
          <w:p w14:paraId="4A2BCD19" w14:textId="77777777" w:rsidR="00050FA2" w:rsidRPr="00CA3321" w:rsidRDefault="00050FA2" w:rsidP="00A902EB">
            <w:pPr>
              <w:rPr>
                <w:color w:val="000000"/>
                <w:sz w:val="16"/>
                <w:szCs w:val="16"/>
              </w:rPr>
            </w:pPr>
            <w:r w:rsidRPr="00CA3321">
              <w:rPr>
                <w:color w:val="000000"/>
                <w:sz w:val="16"/>
                <w:szCs w:val="16"/>
              </w:rPr>
              <w:t>value</w:t>
            </w:r>
          </w:p>
        </w:tc>
        <w:tc>
          <w:tcPr>
            <w:tcW w:w="425" w:type="dxa"/>
            <w:noWrap/>
            <w:hideMark/>
          </w:tcPr>
          <w:p w14:paraId="0D6804F6" w14:textId="77777777" w:rsidR="00050FA2" w:rsidRPr="00CA3321" w:rsidRDefault="00050FA2" w:rsidP="00A902EB">
            <w:pPr>
              <w:rPr>
                <w:color w:val="000000"/>
                <w:sz w:val="16"/>
                <w:szCs w:val="16"/>
              </w:rPr>
            </w:pPr>
            <w:r w:rsidRPr="00CA3321">
              <w:rPr>
                <w:color w:val="000000"/>
                <w:sz w:val="16"/>
                <w:szCs w:val="16"/>
              </w:rPr>
              <w:t xml:space="preserve">88.7  </w:t>
            </w:r>
          </w:p>
        </w:tc>
        <w:tc>
          <w:tcPr>
            <w:tcW w:w="426" w:type="dxa"/>
            <w:noWrap/>
            <w:hideMark/>
          </w:tcPr>
          <w:p w14:paraId="6A9312C7" w14:textId="77777777" w:rsidR="00050FA2" w:rsidRPr="00CA3321" w:rsidRDefault="00050FA2" w:rsidP="00A902EB">
            <w:pPr>
              <w:rPr>
                <w:color w:val="000000"/>
                <w:sz w:val="16"/>
                <w:szCs w:val="16"/>
              </w:rPr>
            </w:pPr>
            <w:r w:rsidRPr="00CA3321">
              <w:rPr>
                <w:color w:val="000000"/>
                <w:sz w:val="16"/>
                <w:szCs w:val="16"/>
              </w:rPr>
              <w:t>13.7</w:t>
            </w:r>
          </w:p>
        </w:tc>
        <w:tc>
          <w:tcPr>
            <w:tcW w:w="0" w:type="auto"/>
            <w:noWrap/>
            <w:hideMark/>
          </w:tcPr>
          <w:p w14:paraId="27444C16" w14:textId="77777777" w:rsidR="00050FA2" w:rsidRPr="00CA3321" w:rsidRDefault="00050FA2" w:rsidP="00A902EB">
            <w:pPr>
              <w:rPr>
                <w:color w:val="000000"/>
                <w:sz w:val="16"/>
                <w:szCs w:val="16"/>
              </w:rPr>
            </w:pPr>
            <w:r w:rsidRPr="00CA3321">
              <w:rPr>
                <w:color w:val="000000"/>
                <w:sz w:val="16"/>
                <w:szCs w:val="16"/>
              </w:rPr>
              <w:t>23.4</w:t>
            </w:r>
          </w:p>
        </w:tc>
        <w:tc>
          <w:tcPr>
            <w:tcW w:w="0" w:type="auto"/>
            <w:noWrap/>
            <w:hideMark/>
          </w:tcPr>
          <w:p w14:paraId="0227C223" w14:textId="77777777" w:rsidR="00050FA2" w:rsidRPr="00CA3321" w:rsidRDefault="00050FA2" w:rsidP="00A902EB">
            <w:pPr>
              <w:rPr>
                <w:color w:val="000000"/>
                <w:sz w:val="16"/>
                <w:szCs w:val="16"/>
              </w:rPr>
            </w:pPr>
            <w:r w:rsidRPr="00CA3321">
              <w:rPr>
                <w:color w:val="000000"/>
                <w:sz w:val="16"/>
                <w:szCs w:val="16"/>
              </w:rPr>
              <w:t>17.1</w:t>
            </w:r>
          </w:p>
        </w:tc>
        <w:tc>
          <w:tcPr>
            <w:tcW w:w="0" w:type="auto"/>
            <w:noWrap/>
            <w:hideMark/>
          </w:tcPr>
          <w:p w14:paraId="4A4F5988" w14:textId="77777777" w:rsidR="00050FA2" w:rsidRPr="00CA3321" w:rsidRDefault="00050FA2" w:rsidP="00A902EB">
            <w:pPr>
              <w:jc w:val="center"/>
              <w:rPr>
                <w:color w:val="000000"/>
                <w:sz w:val="16"/>
                <w:szCs w:val="16"/>
              </w:rPr>
            </w:pPr>
            <w:r w:rsidRPr="00CA3321">
              <w:rPr>
                <w:color w:val="000000"/>
                <w:sz w:val="16"/>
                <w:szCs w:val="16"/>
              </w:rPr>
              <w:t>7.8</w:t>
            </w:r>
          </w:p>
        </w:tc>
        <w:tc>
          <w:tcPr>
            <w:tcW w:w="0" w:type="auto"/>
            <w:noWrap/>
            <w:hideMark/>
          </w:tcPr>
          <w:p w14:paraId="612AA5AD" w14:textId="77777777" w:rsidR="00050FA2" w:rsidRPr="00CA3321" w:rsidRDefault="00050FA2" w:rsidP="00A902EB">
            <w:pPr>
              <w:jc w:val="center"/>
              <w:rPr>
                <w:color w:val="000000"/>
                <w:sz w:val="16"/>
                <w:szCs w:val="16"/>
              </w:rPr>
            </w:pPr>
            <w:r w:rsidRPr="00CA3321">
              <w:rPr>
                <w:color w:val="000000"/>
                <w:sz w:val="16"/>
                <w:szCs w:val="16"/>
              </w:rPr>
              <w:t>38.2</w:t>
            </w:r>
          </w:p>
        </w:tc>
        <w:tc>
          <w:tcPr>
            <w:tcW w:w="0" w:type="auto"/>
            <w:noWrap/>
            <w:hideMark/>
          </w:tcPr>
          <w:p w14:paraId="3C22C493" w14:textId="77777777" w:rsidR="00050FA2" w:rsidRPr="00CA3321" w:rsidRDefault="00050FA2" w:rsidP="00A902EB">
            <w:pPr>
              <w:rPr>
                <w:color w:val="000000"/>
                <w:sz w:val="16"/>
                <w:szCs w:val="16"/>
              </w:rPr>
            </w:pPr>
            <w:r w:rsidRPr="00CA3321">
              <w:rPr>
                <w:color w:val="000000"/>
                <w:sz w:val="16"/>
                <w:szCs w:val="16"/>
              </w:rPr>
              <w:t>90.9</w:t>
            </w:r>
          </w:p>
        </w:tc>
        <w:tc>
          <w:tcPr>
            <w:tcW w:w="0" w:type="auto"/>
            <w:noWrap/>
            <w:hideMark/>
          </w:tcPr>
          <w:p w14:paraId="1CDC165E" w14:textId="77777777" w:rsidR="00050FA2" w:rsidRPr="00CA3321" w:rsidRDefault="00050FA2" w:rsidP="00A902EB">
            <w:pPr>
              <w:rPr>
                <w:color w:val="000000"/>
                <w:sz w:val="16"/>
                <w:szCs w:val="16"/>
              </w:rPr>
            </w:pPr>
            <w:r w:rsidRPr="00CA3321">
              <w:rPr>
                <w:color w:val="000000"/>
                <w:sz w:val="16"/>
                <w:szCs w:val="16"/>
              </w:rPr>
              <w:t>178.6</w:t>
            </w:r>
          </w:p>
        </w:tc>
        <w:tc>
          <w:tcPr>
            <w:tcW w:w="0" w:type="auto"/>
            <w:noWrap/>
            <w:hideMark/>
          </w:tcPr>
          <w:p w14:paraId="4252DB41" w14:textId="77777777" w:rsidR="00050FA2" w:rsidRPr="00CA3321" w:rsidRDefault="00050FA2" w:rsidP="00A902EB">
            <w:pPr>
              <w:jc w:val="center"/>
              <w:rPr>
                <w:color w:val="000000"/>
                <w:sz w:val="16"/>
                <w:szCs w:val="16"/>
              </w:rPr>
            </w:pPr>
            <w:r w:rsidRPr="00CA3321">
              <w:rPr>
                <w:color w:val="000000"/>
                <w:sz w:val="16"/>
                <w:szCs w:val="16"/>
              </w:rPr>
              <w:t>94.0</w:t>
            </w:r>
          </w:p>
        </w:tc>
        <w:tc>
          <w:tcPr>
            <w:tcW w:w="0" w:type="auto"/>
            <w:noWrap/>
            <w:hideMark/>
          </w:tcPr>
          <w:p w14:paraId="7FB234E9" w14:textId="77777777" w:rsidR="00050FA2" w:rsidRPr="00CA3321" w:rsidRDefault="00050FA2" w:rsidP="00A902EB">
            <w:pPr>
              <w:jc w:val="center"/>
              <w:rPr>
                <w:color w:val="000000"/>
                <w:sz w:val="16"/>
                <w:szCs w:val="16"/>
              </w:rPr>
            </w:pPr>
            <w:r w:rsidRPr="00CA3321">
              <w:rPr>
                <w:color w:val="000000"/>
                <w:sz w:val="16"/>
                <w:szCs w:val="16"/>
              </w:rPr>
              <w:t>71.0</w:t>
            </w:r>
          </w:p>
        </w:tc>
        <w:tc>
          <w:tcPr>
            <w:tcW w:w="0" w:type="auto"/>
          </w:tcPr>
          <w:p w14:paraId="72A4C8DA" w14:textId="77777777" w:rsidR="00050FA2" w:rsidRPr="00CA3321" w:rsidRDefault="00050FA2" w:rsidP="00A902EB">
            <w:pPr>
              <w:jc w:val="center"/>
              <w:rPr>
                <w:color w:val="000000"/>
                <w:sz w:val="16"/>
                <w:szCs w:val="16"/>
              </w:rPr>
            </w:pPr>
            <w:r>
              <w:rPr>
                <w:color w:val="000000"/>
                <w:sz w:val="16"/>
                <w:szCs w:val="16"/>
              </w:rPr>
              <w:t>1772</w:t>
            </w:r>
          </w:p>
        </w:tc>
        <w:tc>
          <w:tcPr>
            <w:tcW w:w="0" w:type="auto"/>
            <w:noWrap/>
            <w:hideMark/>
          </w:tcPr>
          <w:p w14:paraId="36BA36ED" w14:textId="77777777" w:rsidR="00050FA2" w:rsidRPr="00CA3321" w:rsidRDefault="00050FA2" w:rsidP="00A902EB">
            <w:pPr>
              <w:jc w:val="center"/>
              <w:rPr>
                <w:color w:val="000000"/>
                <w:sz w:val="16"/>
                <w:szCs w:val="16"/>
              </w:rPr>
            </w:pPr>
            <w:r w:rsidRPr="00CA3321">
              <w:rPr>
                <w:color w:val="000000"/>
                <w:sz w:val="16"/>
                <w:szCs w:val="16"/>
              </w:rPr>
              <w:t>874.0</w:t>
            </w:r>
          </w:p>
        </w:tc>
        <w:tc>
          <w:tcPr>
            <w:tcW w:w="0" w:type="auto"/>
            <w:noWrap/>
            <w:hideMark/>
          </w:tcPr>
          <w:p w14:paraId="20D9F2F3" w14:textId="77777777" w:rsidR="00050FA2" w:rsidRPr="00CA3321" w:rsidRDefault="00050FA2" w:rsidP="00A902EB">
            <w:pPr>
              <w:jc w:val="center"/>
              <w:rPr>
                <w:color w:val="000000"/>
                <w:sz w:val="16"/>
                <w:szCs w:val="16"/>
              </w:rPr>
            </w:pPr>
            <w:r w:rsidRPr="00CA3321">
              <w:rPr>
                <w:color w:val="000000"/>
                <w:sz w:val="16"/>
                <w:szCs w:val="16"/>
              </w:rPr>
              <w:t>9.0</w:t>
            </w:r>
          </w:p>
        </w:tc>
        <w:tc>
          <w:tcPr>
            <w:tcW w:w="0" w:type="auto"/>
            <w:noWrap/>
            <w:hideMark/>
          </w:tcPr>
          <w:p w14:paraId="644A0760" w14:textId="77777777" w:rsidR="00050FA2" w:rsidRPr="00CA3321" w:rsidRDefault="00050FA2" w:rsidP="00A902EB">
            <w:pPr>
              <w:jc w:val="center"/>
              <w:rPr>
                <w:color w:val="000000"/>
                <w:sz w:val="16"/>
                <w:szCs w:val="16"/>
              </w:rPr>
            </w:pPr>
            <w:r w:rsidRPr="00CA3321">
              <w:rPr>
                <w:color w:val="000000"/>
                <w:sz w:val="16"/>
                <w:szCs w:val="16"/>
              </w:rPr>
              <w:t>92.0</w:t>
            </w:r>
          </w:p>
        </w:tc>
        <w:tc>
          <w:tcPr>
            <w:tcW w:w="0" w:type="auto"/>
            <w:noWrap/>
            <w:hideMark/>
          </w:tcPr>
          <w:p w14:paraId="0709E970" w14:textId="77777777" w:rsidR="00050FA2" w:rsidRPr="00CA3321" w:rsidRDefault="00050FA2" w:rsidP="00A902EB">
            <w:pPr>
              <w:jc w:val="center"/>
              <w:rPr>
                <w:color w:val="000000"/>
                <w:sz w:val="16"/>
                <w:szCs w:val="16"/>
              </w:rPr>
            </w:pPr>
            <w:r w:rsidRPr="00CA3321">
              <w:rPr>
                <w:color w:val="000000"/>
                <w:sz w:val="16"/>
                <w:szCs w:val="16"/>
              </w:rPr>
              <w:t>98.0</w:t>
            </w:r>
          </w:p>
        </w:tc>
        <w:tc>
          <w:tcPr>
            <w:tcW w:w="0" w:type="auto"/>
            <w:noWrap/>
            <w:hideMark/>
          </w:tcPr>
          <w:p w14:paraId="224D0EF5" w14:textId="77777777" w:rsidR="00050FA2" w:rsidRPr="00CA3321" w:rsidRDefault="00050FA2" w:rsidP="00A902EB">
            <w:pPr>
              <w:jc w:val="center"/>
              <w:rPr>
                <w:color w:val="000000"/>
                <w:sz w:val="16"/>
                <w:szCs w:val="16"/>
              </w:rPr>
            </w:pPr>
            <w:r w:rsidRPr="00CA3321">
              <w:rPr>
                <w:color w:val="000000"/>
                <w:sz w:val="16"/>
                <w:szCs w:val="16"/>
              </w:rPr>
              <w:t>110.0</w:t>
            </w:r>
          </w:p>
        </w:tc>
      </w:tr>
      <w:tr w:rsidR="00050FA2" w:rsidRPr="00CA3321" w14:paraId="325475B3" w14:textId="77777777" w:rsidTr="00A902EB">
        <w:trPr>
          <w:trHeight w:val="300"/>
        </w:trPr>
        <w:tc>
          <w:tcPr>
            <w:tcW w:w="0" w:type="auto"/>
            <w:vMerge/>
            <w:hideMark/>
          </w:tcPr>
          <w:p w14:paraId="195F156C" w14:textId="77777777" w:rsidR="00050FA2" w:rsidRPr="00CA3321" w:rsidRDefault="00050FA2" w:rsidP="00A902EB">
            <w:pPr>
              <w:jc w:val="center"/>
              <w:rPr>
                <w:color w:val="000000"/>
                <w:sz w:val="16"/>
                <w:szCs w:val="16"/>
              </w:rPr>
            </w:pPr>
          </w:p>
        </w:tc>
        <w:tc>
          <w:tcPr>
            <w:tcW w:w="0" w:type="auto"/>
          </w:tcPr>
          <w:p w14:paraId="6FC59026" w14:textId="77777777" w:rsidR="00050FA2" w:rsidRPr="00CA3321" w:rsidRDefault="00050FA2" w:rsidP="00A902EB">
            <w:pPr>
              <w:jc w:val="center"/>
              <w:rPr>
                <w:color w:val="000000"/>
                <w:sz w:val="16"/>
                <w:szCs w:val="16"/>
              </w:rPr>
            </w:pPr>
            <w:r w:rsidRPr="00CA3321">
              <w:rPr>
                <w:color w:val="000000"/>
                <w:sz w:val="16"/>
                <w:szCs w:val="16"/>
              </w:rPr>
              <w:t>RSD %</w:t>
            </w:r>
          </w:p>
        </w:tc>
        <w:tc>
          <w:tcPr>
            <w:tcW w:w="425" w:type="dxa"/>
            <w:noWrap/>
            <w:hideMark/>
          </w:tcPr>
          <w:p w14:paraId="0937E4D3" w14:textId="77777777" w:rsidR="00050FA2" w:rsidRPr="00CA3321" w:rsidRDefault="00050FA2" w:rsidP="00A902EB">
            <w:pPr>
              <w:jc w:val="center"/>
              <w:rPr>
                <w:color w:val="000000"/>
                <w:sz w:val="16"/>
                <w:szCs w:val="16"/>
              </w:rPr>
            </w:pPr>
            <w:r w:rsidRPr="00CA3321">
              <w:rPr>
                <w:color w:val="000000"/>
                <w:sz w:val="16"/>
                <w:szCs w:val="16"/>
              </w:rPr>
              <w:t>1.7</w:t>
            </w:r>
          </w:p>
        </w:tc>
        <w:tc>
          <w:tcPr>
            <w:tcW w:w="426" w:type="dxa"/>
            <w:noWrap/>
            <w:hideMark/>
          </w:tcPr>
          <w:p w14:paraId="40523ACF" w14:textId="77777777" w:rsidR="00050FA2" w:rsidRPr="00CA3321" w:rsidRDefault="00050FA2" w:rsidP="00A902EB">
            <w:pPr>
              <w:jc w:val="center"/>
              <w:rPr>
                <w:color w:val="000000"/>
                <w:sz w:val="16"/>
                <w:szCs w:val="16"/>
              </w:rPr>
            </w:pPr>
            <w:r w:rsidRPr="00CA3321">
              <w:rPr>
                <w:color w:val="000000"/>
                <w:sz w:val="16"/>
                <w:szCs w:val="16"/>
              </w:rPr>
              <w:t>5.6</w:t>
            </w:r>
          </w:p>
        </w:tc>
        <w:tc>
          <w:tcPr>
            <w:tcW w:w="0" w:type="auto"/>
            <w:noWrap/>
            <w:hideMark/>
          </w:tcPr>
          <w:p w14:paraId="2DA6EDF8" w14:textId="77777777" w:rsidR="00050FA2" w:rsidRPr="00CA3321" w:rsidRDefault="00050FA2" w:rsidP="00A902EB">
            <w:pPr>
              <w:jc w:val="center"/>
              <w:rPr>
                <w:color w:val="000000"/>
                <w:sz w:val="16"/>
                <w:szCs w:val="16"/>
              </w:rPr>
            </w:pPr>
            <w:r w:rsidRPr="00CA3321">
              <w:rPr>
                <w:color w:val="000000"/>
                <w:sz w:val="16"/>
                <w:szCs w:val="16"/>
              </w:rPr>
              <w:t>2.3</w:t>
            </w:r>
          </w:p>
        </w:tc>
        <w:tc>
          <w:tcPr>
            <w:tcW w:w="0" w:type="auto"/>
            <w:noWrap/>
            <w:hideMark/>
          </w:tcPr>
          <w:p w14:paraId="7804039B" w14:textId="77777777" w:rsidR="00050FA2" w:rsidRPr="00CA3321" w:rsidRDefault="00050FA2" w:rsidP="00A902EB">
            <w:pPr>
              <w:jc w:val="center"/>
              <w:rPr>
                <w:color w:val="000000"/>
                <w:sz w:val="16"/>
                <w:szCs w:val="16"/>
              </w:rPr>
            </w:pPr>
            <w:r w:rsidRPr="00CA3321">
              <w:rPr>
                <w:color w:val="000000"/>
                <w:sz w:val="16"/>
                <w:szCs w:val="16"/>
              </w:rPr>
              <w:t>0.7</w:t>
            </w:r>
          </w:p>
        </w:tc>
        <w:tc>
          <w:tcPr>
            <w:tcW w:w="0" w:type="auto"/>
            <w:noWrap/>
            <w:hideMark/>
          </w:tcPr>
          <w:p w14:paraId="4D0B3A35" w14:textId="77777777" w:rsidR="00050FA2" w:rsidRPr="00CA3321" w:rsidRDefault="00050FA2" w:rsidP="00A902EB">
            <w:pPr>
              <w:jc w:val="center"/>
              <w:rPr>
                <w:color w:val="000000"/>
                <w:sz w:val="16"/>
                <w:szCs w:val="16"/>
              </w:rPr>
            </w:pPr>
            <w:r w:rsidRPr="00CA3321">
              <w:rPr>
                <w:color w:val="000000"/>
                <w:sz w:val="16"/>
                <w:szCs w:val="16"/>
              </w:rPr>
              <w:t>5.3</w:t>
            </w:r>
          </w:p>
        </w:tc>
        <w:tc>
          <w:tcPr>
            <w:tcW w:w="0" w:type="auto"/>
            <w:noWrap/>
            <w:hideMark/>
          </w:tcPr>
          <w:p w14:paraId="42C4E87B" w14:textId="77777777" w:rsidR="00050FA2" w:rsidRPr="00CA3321" w:rsidRDefault="00050FA2" w:rsidP="00A902EB">
            <w:pPr>
              <w:jc w:val="center"/>
              <w:rPr>
                <w:color w:val="000000"/>
                <w:sz w:val="16"/>
                <w:szCs w:val="16"/>
              </w:rPr>
            </w:pPr>
            <w:r w:rsidRPr="00CA3321">
              <w:rPr>
                <w:color w:val="000000"/>
                <w:sz w:val="16"/>
                <w:szCs w:val="16"/>
              </w:rPr>
              <w:t>2.4</w:t>
            </w:r>
          </w:p>
        </w:tc>
        <w:tc>
          <w:tcPr>
            <w:tcW w:w="0" w:type="auto"/>
            <w:noWrap/>
            <w:hideMark/>
          </w:tcPr>
          <w:p w14:paraId="17179FBC" w14:textId="77777777" w:rsidR="00050FA2" w:rsidRPr="00CA3321" w:rsidRDefault="00050FA2" w:rsidP="00A902EB">
            <w:pPr>
              <w:jc w:val="center"/>
              <w:rPr>
                <w:color w:val="000000"/>
                <w:sz w:val="16"/>
                <w:szCs w:val="16"/>
              </w:rPr>
            </w:pPr>
            <w:r w:rsidRPr="00CA3321">
              <w:rPr>
                <w:color w:val="000000"/>
                <w:sz w:val="16"/>
                <w:szCs w:val="16"/>
              </w:rPr>
              <w:t>1.8</w:t>
            </w:r>
          </w:p>
        </w:tc>
        <w:tc>
          <w:tcPr>
            <w:tcW w:w="0" w:type="auto"/>
            <w:noWrap/>
            <w:hideMark/>
          </w:tcPr>
          <w:p w14:paraId="0057BC1A" w14:textId="77777777" w:rsidR="00050FA2" w:rsidRPr="00CA3321" w:rsidRDefault="00050FA2" w:rsidP="00A902EB">
            <w:pPr>
              <w:jc w:val="center"/>
              <w:rPr>
                <w:color w:val="000000"/>
                <w:sz w:val="16"/>
                <w:szCs w:val="16"/>
              </w:rPr>
            </w:pPr>
            <w:r w:rsidRPr="00CA3321">
              <w:rPr>
                <w:color w:val="000000"/>
                <w:sz w:val="16"/>
                <w:szCs w:val="16"/>
              </w:rPr>
              <w:t>1.0</w:t>
            </w:r>
          </w:p>
        </w:tc>
        <w:tc>
          <w:tcPr>
            <w:tcW w:w="0" w:type="auto"/>
            <w:noWrap/>
            <w:hideMark/>
          </w:tcPr>
          <w:p w14:paraId="40D7EBE4" w14:textId="77777777" w:rsidR="00050FA2" w:rsidRPr="00CA3321" w:rsidRDefault="00050FA2" w:rsidP="00A902EB">
            <w:pPr>
              <w:jc w:val="center"/>
              <w:rPr>
                <w:color w:val="000000"/>
                <w:sz w:val="16"/>
                <w:szCs w:val="16"/>
              </w:rPr>
            </w:pPr>
            <w:r w:rsidRPr="00CA3321">
              <w:rPr>
                <w:color w:val="000000"/>
                <w:sz w:val="16"/>
                <w:szCs w:val="16"/>
              </w:rPr>
              <w:t>11.1</w:t>
            </w:r>
          </w:p>
        </w:tc>
        <w:tc>
          <w:tcPr>
            <w:tcW w:w="0" w:type="auto"/>
            <w:noWrap/>
            <w:hideMark/>
          </w:tcPr>
          <w:p w14:paraId="36815762" w14:textId="77777777" w:rsidR="00050FA2" w:rsidRPr="00CA3321" w:rsidRDefault="00050FA2" w:rsidP="00A902EB">
            <w:pPr>
              <w:jc w:val="center"/>
              <w:rPr>
                <w:color w:val="000000"/>
                <w:sz w:val="16"/>
                <w:szCs w:val="16"/>
              </w:rPr>
            </w:pPr>
            <w:r w:rsidRPr="00CA3321">
              <w:rPr>
                <w:color w:val="000000"/>
                <w:sz w:val="16"/>
                <w:szCs w:val="16"/>
              </w:rPr>
              <w:t>30.1</w:t>
            </w:r>
          </w:p>
        </w:tc>
        <w:tc>
          <w:tcPr>
            <w:tcW w:w="0" w:type="auto"/>
          </w:tcPr>
          <w:p w14:paraId="1B020C64" w14:textId="77777777" w:rsidR="00050FA2" w:rsidRPr="00CA3321" w:rsidRDefault="00050FA2" w:rsidP="00A902EB">
            <w:pPr>
              <w:jc w:val="center"/>
              <w:rPr>
                <w:color w:val="000000"/>
                <w:sz w:val="16"/>
                <w:szCs w:val="16"/>
              </w:rPr>
            </w:pPr>
            <w:r>
              <w:rPr>
                <w:color w:val="000000"/>
                <w:sz w:val="16"/>
                <w:szCs w:val="16"/>
              </w:rPr>
              <w:t>1.7</w:t>
            </w:r>
          </w:p>
        </w:tc>
        <w:tc>
          <w:tcPr>
            <w:tcW w:w="0" w:type="auto"/>
            <w:noWrap/>
            <w:hideMark/>
          </w:tcPr>
          <w:p w14:paraId="38A21E3D" w14:textId="77777777" w:rsidR="00050FA2" w:rsidRPr="00CA3321" w:rsidRDefault="00050FA2" w:rsidP="00A902EB">
            <w:pPr>
              <w:jc w:val="center"/>
              <w:rPr>
                <w:color w:val="000000"/>
                <w:sz w:val="16"/>
                <w:szCs w:val="16"/>
              </w:rPr>
            </w:pPr>
            <w:r w:rsidRPr="00CA3321">
              <w:rPr>
                <w:color w:val="000000"/>
                <w:sz w:val="16"/>
                <w:szCs w:val="16"/>
              </w:rPr>
              <w:t>1.9</w:t>
            </w:r>
          </w:p>
        </w:tc>
        <w:tc>
          <w:tcPr>
            <w:tcW w:w="0" w:type="auto"/>
            <w:noWrap/>
            <w:hideMark/>
          </w:tcPr>
          <w:p w14:paraId="3E6ECFB2" w14:textId="77777777" w:rsidR="00050FA2" w:rsidRPr="00CA3321" w:rsidRDefault="00050FA2" w:rsidP="00A902EB">
            <w:pPr>
              <w:jc w:val="center"/>
              <w:rPr>
                <w:color w:val="000000"/>
                <w:sz w:val="16"/>
                <w:szCs w:val="16"/>
              </w:rPr>
            </w:pPr>
            <w:r w:rsidRPr="00CA3321">
              <w:rPr>
                <w:color w:val="000000"/>
                <w:sz w:val="16"/>
                <w:szCs w:val="16"/>
              </w:rPr>
              <w:t>8.5</w:t>
            </w:r>
          </w:p>
        </w:tc>
        <w:tc>
          <w:tcPr>
            <w:tcW w:w="0" w:type="auto"/>
            <w:noWrap/>
            <w:hideMark/>
          </w:tcPr>
          <w:p w14:paraId="3C22A8B8" w14:textId="77777777" w:rsidR="00050FA2" w:rsidRPr="00CA3321" w:rsidRDefault="00050FA2" w:rsidP="00A902EB">
            <w:pPr>
              <w:jc w:val="center"/>
              <w:rPr>
                <w:color w:val="000000"/>
                <w:sz w:val="16"/>
                <w:szCs w:val="16"/>
              </w:rPr>
            </w:pPr>
            <w:r w:rsidRPr="00CA3321">
              <w:rPr>
                <w:color w:val="000000"/>
                <w:sz w:val="16"/>
                <w:szCs w:val="16"/>
              </w:rPr>
              <w:t>1.8</w:t>
            </w:r>
          </w:p>
        </w:tc>
        <w:tc>
          <w:tcPr>
            <w:tcW w:w="0" w:type="auto"/>
            <w:noWrap/>
            <w:hideMark/>
          </w:tcPr>
          <w:p w14:paraId="18AF7882" w14:textId="77777777" w:rsidR="00050FA2" w:rsidRPr="00CA3321" w:rsidRDefault="00050FA2" w:rsidP="00A902EB">
            <w:pPr>
              <w:jc w:val="center"/>
              <w:rPr>
                <w:color w:val="000000"/>
                <w:sz w:val="16"/>
                <w:szCs w:val="16"/>
              </w:rPr>
            </w:pPr>
            <w:r w:rsidRPr="00CA3321">
              <w:rPr>
                <w:color w:val="000000"/>
                <w:sz w:val="16"/>
                <w:szCs w:val="16"/>
              </w:rPr>
              <w:t>2.7</w:t>
            </w:r>
          </w:p>
        </w:tc>
        <w:tc>
          <w:tcPr>
            <w:tcW w:w="0" w:type="auto"/>
            <w:noWrap/>
            <w:hideMark/>
          </w:tcPr>
          <w:p w14:paraId="1EAEC8A7" w14:textId="77777777" w:rsidR="00050FA2" w:rsidRPr="00CA3321" w:rsidRDefault="00050FA2" w:rsidP="00A902EB">
            <w:pPr>
              <w:jc w:val="center"/>
              <w:rPr>
                <w:color w:val="000000"/>
                <w:sz w:val="16"/>
                <w:szCs w:val="16"/>
              </w:rPr>
            </w:pPr>
            <w:r w:rsidRPr="00CA3321">
              <w:rPr>
                <w:color w:val="000000"/>
                <w:sz w:val="16"/>
                <w:szCs w:val="16"/>
              </w:rPr>
              <w:t>3.9</w:t>
            </w:r>
          </w:p>
        </w:tc>
      </w:tr>
    </w:tbl>
    <w:p w14:paraId="6D34355B" w14:textId="77777777" w:rsidR="00050FA2" w:rsidRPr="008148E6" w:rsidRDefault="00050FA2" w:rsidP="00050FA2">
      <w:pPr>
        <w:jc w:val="center"/>
        <w:rPr>
          <w:color w:val="000000"/>
        </w:rPr>
      </w:pPr>
      <w:r w:rsidRPr="008148E6">
        <w:rPr>
          <w:i/>
          <w:iCs/>
          <w:color w:val="000000"/>
        </w:rPr>
        <w:t xml:space="preserve">Table 4. </w:t>
      </w:r>
      <w:bookmarkStart w:id="8" w:name="_Hlk192151666"/>
      <w:r w:rsidRPr="008148E6">
        <w:rPr>
          <w:i/>
          <w:iCs/>
          <w:color w:val="000000"/>
        </w:rPr>
        <w:t>Concentrations of chemical elements and their relative standard deviations in percent (RSD %) for JSC Mars-1.</w:t>
      </w:r>
      <w:bookmarkEnd w:id="3"/>
      <w:bookmarkEnd w:id="8"/>
    </w:p>
    <w:p w14:paraId="06EFE264" w14:textId="77777777" w:rsidR="00050FA2" w:rsidRDefault="00050FA2" w:rsidP="00050FA2">
      <w:pPr>
        <w:rPr>
          <w:color w:val="000000"/>
        </w:rPr>
      </w:pPr>
    </w:p>
    <w:p w14:paraId="3BCCD365" w14:textId="77777777" w:rsidR="00050FA2" w:rsidRPr="00BE7B40" w:rsidRDefault="00050FA2" w:rsidP="00050FA2">
      <w:r w:rsidRPr="00BE7B40">
        <w:rPr>
          <w:color w:val="000000"/>
        </w:rPr>
        <w:t xml:space="preserve">The X-ray diffractometer Philips X’Pert PRO (Bragg-Brentano HD optics, cobalt source, detector X’Celerator detector) </w:t>
      </w:r>
      <w:r>
        <w:rPr>
          <w:color w:val="000000"/>
        </w:rPr>
        <w:t>was</w:t>
      </w:r>
      <w:r w:rsidRPr="00BE7B40">
        <w:rPr>
          <w:color w:val="000000"/>
        </w:rPr>
        <w:t xml:space="preserve"> used for the mineralogical characterization of the three Martian simulants. We prepared the samples as</w:t>
      </w:r>
      <w:r>
        <w:rPr>
          <w:color w:val="000000"/>
        </w:rPr>
        <w:t xml:space="preserve"> we have done in </w:t>
      </w:r>
      <w:r w:rsidRPr="00A128D9">
        <w:rPr>
          <w:color w:val="7030A0"/>
        </w:rPr>
        <w:t>Costa et al. (2024b)</w:t>
      </w:r>
      <w:r w:rsidRPr="00BE7B40">
        <w:rPr>
          <w:color w:val="000000"/>
        </w:rPr>
        <w:t>:</w:t>
      </w:r>
    </w:p>
    <w:p w14:paraId="3BD6A4F4" w14:textId="77777777" w:rsidR="00050FA2" w:rsidRPr="00BE7B40" w:rsidRDefault="00050FA2" w:rsidP="00050FA2">
      <w:pPr>
        <w:numPr>
          <w:ilvl w:val="0"/>
          <w:numId w:val="1"/>
        </w:numPr>
        <w:textAlignment w:val="baseline"/>
        <w:rPr>
          <w:color w:val="000000"/>
        </w:rPr>
      </w:pPr>
      <w:r w:rsidRPr="00BE7B40">
        <w:rPr>
          <w:color w:val="000000"/>
        </w:rPr>
        <w:t>qualitative analysis: manual grinding of dry simulants with agate mortar (&lt;63 µm);</w:t>
      </w:r>
    </w:p>
    <w:p w14:paraId="3483079F" w14:textId="77777777" w:rsidR="00050FA2" w:rsidRDefault="00050FA2" w:rsidP="00050FA2">
      <w:pPr>
        <w:numPr>
          <w:ilvl w:val="0"/>
          <w:numId w:val="1"/>
        </w:numPr>
        <w:textAlignment w:val="baseline"/>
        <w:rPr>
          <w:color w:val="000000"/>
        </w:rPr>
      </w:pPr>
      <w:r w:rsidRPr="00BE7B40">
        <w:rPr>
          <w:color w:val="000000"/>
        </w:rPr>
        <w:t xml:space="preserve">quantitative analysis – Rietveld method: the samples was weighted and mixed with an appropriate amount of standard zincite ZnO </w:t>
      </w:r>
      <w:proofErr w:type="gramStart"/>
      <w:r w:rsidRPr="00BE7B40">
        <w:rPr>
          <w:color w:val="000000"/>
        </w:rPr>
        <w:t>in order to</w:t>
      </w:r>
      <w:proofErr w:type="gramEnd"/>
      <w:r w:rsidRPr="00BE7B40">
        <w:rPr>
          <w:color w:val="000000"/>
        </w:rPr>
        <w:t xml:space="preserve"> be </w:t>
      </w:r>
      <w:r>
        <w:rPr>
          <w:color w:val="000000"/>
        </w:rPr>
        <w:t>1</w:t>
      </w:r>
      <w:r w:rsidRPr="00BE7B40">
        <w:rPr>
          <w:color w:val="000000"/>
        </w:rPr>
        <w:t xml:space="preserve">0% of the whole sample. A specific amount of ethanol was added to the mixture of </w:t>
      </w:r>
      <w:r>
        <w:rPr>
          <w:color w:val="000000"/>
        </w:rPr>
        <w:t>JSC Mars</w:t>
      </w:r>
      <w:r w:rsidRPr="00BE7B40">
        <w:rPr>
          <w:color w:val="000000"/>
        </w:rPr>
        <w:t xml:space="preserve">-1 + zincite, which was put in the micronizer at </w:t>
      </w:r>
      <w:r>
        <w:rPr>
          <w:color w:val="000000"/>
        </w:rPr>
        <w:t xml:space="preserve">the </w:t>
      </w:r>
      <w:r w:rsidRPr="00BE7B40">
        <w:rPr>
          <w:color w:val="000000"/>
        </w:rPr>
        <w:t>highest speed for 5 minutes. The powder was dried in the air. The result was a uniform and fine powder (&lt;5 µm) ready to be analyzed.</w:t>
      </w:r>
    </w:p>
    <w:p w14:paraId="21C83694" w14:textId="77777777" w:rsidR="00050FA2" w:rsidRDefault="00050FA2" w:rsidP="00050FA2">
      <w:pPr>
        <w:rPr>
          <w:color w:val="000000"/>
        </w:rPr>
      </w:pPr>
      <w:r w:rsidRPr="00BE7B40">
        <w:rPr>
          <w:color w:val="000000"/>
        </w:rPr>
        <w:t>HighScore (Plus) software version 4.9 (PANalytical B.V., 2020, Almelo, The Netherlands</w:t>
      </w:r>
      <w:r>
        <w:rPr>
          <w:color w:val="000000"/>
        </w:rPr>
        <w:t xml:space="preserve">; </w:t>
      </w:r>
      <w:r w:rsidRPr="00993AB7">
        <w:rPr>
          <w:color w:val="7030A0"/>
        </w:rPr>
        <w:t>Degen et al., 2014</w:t>
      </w:r>
      <w:r w:rsidRPr="00BE7B40">
        <w:rPr>
          <w:color w:val="000000"/>
        </w:rPr>
        <w:t>) allow</w:t>
      </w:r>
      <w:r>
        <w:rPr>
          <w:color w:val="000000"/>
        </w:rPr>
        <w:t>ed</w:t>
      </w:r>
      <w:r w:rsidRPr="00BE7B40">
        <w:rPr>
          <w:color w:val="000000"/>
        </w:rPr>
        <w:t xml:space="preserve"> to identify the mineral species (qualitative phase analysis) while the relative abundance of each phase </w:t>
      </w:r>
      <w:r>
        <w:rPr>
          <w:color w:val="000000"/>
        </w:rPr>
        <w:t>was</w:t>
      </w:r>
      <w:r w:rsidRPr="00BE7B40">
        <w:rPr>
          <w:color w:val="000000"/>
        </w:rPr>
        <w:t xml:space="preserve"> calculated using the Rietveld method as implemented in Profex-BGMN v. 5.2.3 </w:t>
      </w:r>
      <w:r>
        <w:rPr>
          <w:color w:val="000000"/>
        </w:rPr>
        <w:t>(</w:t>
      </w:r>
      <w:r w:rsidRPr="00B875B5">
        <w:rPr>
          <w:color w:val="7030A0"/>
        </w:rPr>
        <w:t>Döbelin et al., 2015</w:t>
      </w:r>
      <w:r>
        <w:rPr>
          <w:color w:val="7030A0"/>
        </w:rPr>
        <w:t xml:space="preserve">; </w:t>
      </w:r>
      <w:r w:rsidRPr="00BE7B40">
        <w:rPr>
          <w:color w:val="FFC000"/>
        </w:rPr>
        <w:t xml:space="preserve">Tab. </w:t>
      </w:r>
      <w:r>
        <w:rPr>
          <w:color w:val="FFC000"/>
        </w:rPr>
        <w:t>5.</w:t>
      </w:r>
      <w:r w:rsidRPr="00BE7B40">
        <w:rPr>
          <w:color w:val="FFC000"/>
        </w:rPr>
        <w:t>10</w:t>
      </w:r>
      <w:r>
        <w:rPr>
          <w:color w:val="FFC000"/>
        </w:rPr>
        <w:t xml:space="preserve"> </w:t>
      </w:r>
      <w:r w:rsidRPr="00AB2B58">
        <w:t xml:space="preserve">in </w:t>
      </w:r>
      <w:r w:rsidRPr="00AB2B58">
        <w:rPr>
          <w:color w:val="7030A0"/>
        </w:rPr>
        <w:t>Costa et al., 2024b</w:t>
      </w:r>
      <w:r>
        <w:rPr>
          <w:color w:val="FFC000"/>
        </w:rPr>
        <w:t>)</w:t>
      </w:r>
      <w:r w:rsidRPr="00BE7B40">
        <w:rPr>
          <w:color w:val="000000"/>
        </w:rPr>
        <w:t>.</w:t>
      </w:r>
      <w:r>
        <w:rPr>
          <w:color w:val="000000"/>
        </w:rPr>
        <w:t xml:space="preserve"> </w:t>
      </w:r>
      <w:r w:rsidRPr="00BE7B40">
        <w:rPr>
          <w:color w:val="00B050"/>
        </w:rPr>
        <w:t xml:space="preserve">Fig. </w:t>
      </w:r>
      <w:r>
        <w:rPr>
          <w:color w:val="00B050"/>
        </w:rPr>
        <w:t>2a</w:t>
      </w:r>
      <w:r w:rsidRPr="00BE7B40">
        <w:rPr>
          <w:color w:val="00B050"/>
        </w:rPr>
        <w:t xml:space="preserve"> </w:t>
      </w:r>
      <w:r w:rsidRPr="00BE7B40">
        <w:rPr>
          <w:color w:val="000000"/>
        </w:rPr>
        <w:t xml:space="preserve">and </w:t>
      </w:r>
      <w:r w:rsidRPr="00BE7B40">
        <w:rPr>
          <w:color w:val="FFC000"/>
        </w:rPr>
        <w:t xml:space="preserve">Tab. </w:t>
      </w:r>
      <w:r>
        <w:rPr>
          <w:color w:val="FFC000"/>
        </w:rPr>
        <w:t>5</w:t>
      </w:r>
      <w:r w:rsidRPr="00BE7B40">
        <w:rPr>
          <w:color w:val="FFC000"/>
        </w:rPr>
        <w:t>a</w:t>
      </w:r>
      <w:r>
        <w:rPr>
          <w:color w:val="FFC000"/>
        </w:rPr>
        <w:t xml:space="preserve"> </w:t>
      </w:r>
      <w:bookmarkStart w:id="9" w:name="_Hlk192151693"/>
      <w:r w:rsidRPr="00BE7B40">
        <w:rPr>
          <w:color w:val="000000"/>
        </w:rPr>
        <w:t>are related to a qualitative analysis excluding the amorphous material,</w:t>
      </w:r>
      <w:r>
        <w:rPr>
          <w:color w:val="000000"/>
        </w:rPr>
        <w:t xml:space="preserve"> while</w:t>
      </w:r>
      <w:r w:rsidRPr="00BE7B40">
        <w:rPr>
          <w:color w:val="000000"/>
        </w:rPr>
        <w:t xml:space="preserve"> </w:t>
      </w:r>
      <w:r w:rsidRPr="00622091">
        <w:rPr>
          <w:color w:val="00B050"/>
        </w:rPr>
        <w:t xml:space="preserve">Fig. </w:t>
      </w:r>
      <w:r>
        <w:rPr>
          <w:color w:val="00B050"/>
        </w:rPr>
        <w:t>2</w:t>
      </w:r>
      <w:r>
        <w:rPr>
          <w:color w:val="00B050"/>
        </w:rPr>
        <w:t>b</w:t>
      </w:r>
      <w:r w:rsidRPr="00622091">
        <w:rPr>
          <w:color w:val="00B050"/>
        </w:rPr>
        <w:t xml:space="preserve"> </w:t>
      </w:r>
      <w:r w:rsidRPr="00622091">
        <w:rPr>
          <w:color w:val="000000"/>
        </w:rPr>
        <w:t xml:space="preserve">and </w:t>
      </w:r>
      <w:r w:rsidRPr="00622091">
        <w:rPr>
          <w:color w:val="FFC000"/>
        </w:rPr>
        <w:t xml:space="preserve">Tab. </w:t>
      </w:r>
      <w:r>
        <w:rPr>
          <w:color w:val="FFC000"/>
        </w:rPr>
        <w:t>5b</w:t>
      </w:r>
      <w:r w:rsidRPr="00622091">
        <w:rPr>
          <w:color w:val="FFC000"/>
        </w:rPr>
        <w:t xml:space="preserve"> </w:t>
      </w:r>
      <w:r w:rsidRPr="00BE7B40">
        <w:rPr>
          <w:color w:val="000000"/>
        </w:rPr>
        <w:t>to a quantitative analysis which however includes the amorphous material. Peaks shown in the diffractograms are linked to specific minerals (</w:t>
      </w:r>
      <w:r w:rsidRPr="00BE7B40">
        <w:rPr>
          <w:color w:val="00B050"/>
        </w:rPr>
        <w:t xml:space="preserve">Fig. </w:t>
      </w:r>
      <w:r>
        <w:rPr>
          <w:color w:val="00B050"/>
        </w:rPr>
        <w:t>2</w:t>
      </w:r>
      <w:r>
        <w:rPr>
          <w:color w:val="00B050"/>
        </w:rPr>
        <w:t>a</w:t>
      </w:r>
      <w:r w:rsidRPr="00BE7B40">
        <w:rPr>
          <w:color w:val="00B050"/>
        </w:rPr>
        <w:t xml:space="preserve"> </w:t>
      </w:r>
      <w:r w:rsidRPr="00BE7B40">
        <w:rPr>
          <w:color w:val="000000"/>
        </w:rPr>
        <w:t xml:space="preserve">and </w:t>
      </w:r>
      <w:r w:rsidRPr="00BE7B40">
        <w:rPr>
          <w:color w:val="00B050"/>
        </w:rPr>
        <w:t xml:space="preserve">Fig. </w:t>
      </w:r>
      <w:r>
        <w:rPr>
          <w:color w:val="00B050"/>
        </w:rPr>
        <w:t>2</w:t>
      </w:r>
      <w:r w:rsidRPr="00BE7B40">
        <w:rPr>
          <w:color w:val="00B050"/>
        </w:rPr>
        <w:t>b</w:t>
      </w:r>
      <w:r w:rsidRPr="00BE7B40">
        <w:rPr>
          <w:color w:val="000000"/>
        </w:rPr>
        <w:t xml:space="preserve">). </w:t>
      </w:r>
      <w:bookmarkEnd w:id="9"/>
    </w:p>
    <w:p w14:paraId="18E2A11D" w14:textId="77777777" w:rsidR="00050FA2" w:rsidRDefault="00050FA2" w:rsidP="00050FA2">
      <w:pPr>
        <w:rPr>
          <w:color w:val="000000"/>
        </w:rPr>
      </w:pPr>
    </w:p>
    <w:p w14:paraId="494B84BD" w14:textId="77777777" w:rsidR="00050FA2" w:rsidRDefault="00050FA2" w:rsidP="00050FA2">
      <w:pPr>
        <w:jc w:val="center"/>
        <w:rPr>
          <w:color w:val="000000"/>
        </w:rPr>
      </w:pPr>
      <w:r>
        <w:rPr>
          <w:noProof/>
        </w:rPr>
        <w:lastRenderedPageBreak/>
        <mc:AlternateContent>
          <mc:Choice Requires="wps">
            <w:drawing>
              <wp:anchor distT="0" distB="0" distL="114300" distR="114300" simplePos="0" relativeHeight="251659264" behindDoc="0" locked="0" layoutInCell="1" allowOverlap="1" wp14:anchorId="36D15ECE" wp14:editId="192ECD12">
                <wp:simplePos x="0" y="0"/>
                <wp:positionH relativeFrom="column">
                  <wp:posOffset>599440</wp:posOffset>
                </wp:positionH>
                <wp:positionV relativeFrom="paragraph">
                  <wp:posOffset>2015490</wp:posOffset>
                </wp:positionV>
                <wp:extent cx="422910" cy="330200"/>
                <wp:effectExtent l="0" t="0" r="0" b="0"/>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2910" cy="330200"/>
                        </a:xfrm>
                        <a:prstGeom prst="rect">
                          <a:avLst/>
                        </a:prstGeom>
                        <a:solidFill>
                          <a:sysClr val="window" lastClr="FFFFFF"/>
                        </a:solidFill>
                        <a:ln w="6350">
                          <a:noFill/>
                        </a:ln>
                      </wps:spPr>
                      <wps:txbx>
                        <w:txbxContent>
                          <w:p w14:paraId="75FF452E" w14:textId="77777777" w:rsidR="00050FA2" w:rsidRPr="00890648" w:rsidRDefault="00050FA2" w:rsidP="00050FA2">
                            <w:pPr>
                              <w:jc w:val="center"/>
                              <w:rPr>
                                <w:sz w:val="32"/>
                                <w:szCs w:val="32"/>
                              </w:rPr>
                            </w:pPr>
                            <w:r w:rsidRPr="00890648">
                              <w:rPr>
                                <w:sz w:val="32"/>
                                <w:szCs w:val="32"/>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6D15ECE" id="_x0000_t202" coordsize="21600,21600" o:spt="202" path="m,l,21600r21600,l21600,xe">
                <v:stroke joinstyle="miter"/>
                <v:path gradientshapeok="t" o:connecttype="rect"/>
              </v:shapetype>
              <v:shape id="Casella di testo 8" o:spid="_x0000_s1026" type="#_x0000_t202" style="position:absolute;left:0;text-align:left;margin-left:47.2pt;margin-top:158.7pt;width:33.3pt;height: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w/1VwIAAKoEAAAOAAAAZHJzL2Uyb0RvYy54bWysVE1v2zAMvQ/YfxB0X5yvdm1Qp8hSZBgQ&#10;tAXaomdFlhtjsqhJSuzs1+9Jdtqs22lYDgolPpF6fKSvrttas71yviKT89FgyJkykorKvOT86XH1&#10;6YIzH4QphCajcn5Qnl/PP364auxMjWlLulCOIYjxs8bmfBuCnWWZl1tVCz8gqwycJblaBGzdS1Y4&#10;0SB6rbPxcHieNeQK60gq73F60zn5PMUvSyXDXVl6FZjOOd4W0urSuolrNr8Ssxcn7LaS/TPEP7yi&#10;FpVB0tdQNyIItnPVH6HqSjryVIaBpDqjsqykShzAZjR8x+ZhK6xKXFAcb1/L5P9fWHm7v3esKnIO&#10;oYyoIdFSeKW1YEXFgvKB2EWsUmP9DOAHC3hov1ALtRNjb9ckv3tAshNMd8EDHavSlq6O/+DLcBFC&#10;HF6Lr9rAJA6n4/HlCB4J12QyhLgxbfZ22TofviqqWTRy7qBteoDYr33ooEdIzOVJV8Wq0jptDn6p&#10;HdsLtAG6p6CGMy18wGHOV+nXZ/vtmjasyfn55GyYMhmK8bpU2vSEO46Remg3LZzR3FBxQKEcdQ3n&#10;rVxVePUaKe+FQ4eBKKYm3GEpNSEJ9RZnW3I//3Ye8RAeXs4adGzO/Y+dcApMvhm0xOVoOo0tnjbT&#10;s89jbNypZ3PqMbt6SajGCPNpZTIjPuijWTqqnzFci5gVLmEkcuc8HM1l6OYIwynVYpFAaGorwto8&#10;WHnsj6jJY/ssnO2FC1D8lo69LWbv9OuwUTRDi12gskrivlW1rzsGIrVHP7xx4k73CfX2iZn/AgAA&#10;//8DAFBLAwQUAAYACAAAACEA0KEXzuIAAAAKAQAADwAAAGRycy9kb3ducmV2LnhtbEyPwU7DMBBE&#10;70j8g7VI3KgTiEIb4lQIgaBSo5aAxNWNlyQQ25HtNqFfz/YEt92d0eybfDnpnh3Q+c4aAfEsAoam&#10;tqozjYD3t6erOTAfpFGytwYF/KCHZXF+lstM2dG84qEKDaMQ4zMpoA1hyDj3dYta+pkd0JD2aZ2W&#10;gVbXcOXkSOG659dRlHItO0MfWjngQ4v1d7XXAj7G6tltVquv7fBSHjfHqlzjYynE5cV0fwcs4BT+&#10;zHDCJ3QoiGln90Z51gtYJAk5BdzEtzScDGlM5XZ0SRcJ8CLn/ysUvwAAAP//AwBQSwECLQAUAAYA&#10;CAAAACEAtoM4kv4AAADhAQAAEwAAAAAAAAAAAAAAAAAAAAAAW0NvbnRlbnRfVHlwZXNdLnhtbFBL&#10;AQItABQABgAIAAAAIQA4/SH/1gAAAJQBAAALAAAAAAAAAAAAAAAAAC8BAABfcmVscy8ucmVsc1BL&#10;AQItABQABgAIAAAAIQB8Pw/1VwIAAKoEAAAOAAAAAAAAAAAAAAAAAC4CAABkcnMvZTJvRG9jLnht&#10;bFBLAQItABQABgAIAAAAIQDQoRfO4gAAAAoBAAAPAAAAAAAAAAAAAAAAALEEAABkcnMvZG93bnJl&#10;di54bWxQSwUGAAAAAAQABADzAAAAwAUAAAAA&#10;" fillcolor="window" stroked="f" strokeweight=".5pt">
                <v:textbox>
                  <w:txbxContent>
                    <w:p w14:paraId="75FF452E" w14:textId="77777777" w:rsidR="00050FA2" w:rsidRPr="00890648" w:rsidRDefault="00050FA2" w:rsidP="00050FA2">
                      <w:pPr>
                        <w:jc w:val="center"/>
                        <w:rPr>
                          <w:sz w:val="32"/>
                          <w:szCs w:val="32"/>
                        </w:rPr>
                      </w:pPr>
                      <w:r w:rsidRPr="00890648">
                        <w:rPr>
                          <w:sz w:val="32"/>
                          <w:szCs w:val="32"/>
                        </w:rPr>
                        <w:t>a</w:t>
                      </w:r>
                    </w:p>
                  </w:txbxContent>
                </v:textbox>
              </v:shape>
            </w:pict>
          </mc:Fallback>
        </mc:AlternateContent>
      </w:r>
      <w:r w:rsidRPr="00115A27">
        <w:rPr>
          <w:noProof/>
        </w:rPr>
        <w:drawing>
          <wp:inline distT="0" distB="0" distL="0" distR="0" wp14:anchorId="337DE2EA" wp14:editId="7F76E765">
            <wp:extent cx="5046980" cy="257683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10" cstate="print">
                      <a:extLst>
                        <a:ext uri="{28A0092B-C50C-407E-A947-70E740481C1C}">
                          <a14:useLocalDpi xmlns:a14="http://schemas.microsoft.com/office/drawing/2010/main" val="0"/>
                        </a:ext>
                      </a:extLst>
                    </a:blip>
                    <a:srcRect t="5843" b="3238"/>
                    <a:stretch>
                      <a:fillRect/>
                    </a:stretch>
                  </pic:blipFill>
                  <pic:spPr bwMode="auto">
                    <a:xfrm>
                      <a:off x="0" y="0"/>
                      <a:ext cx="5046980" cy="2576830"/>
                    </a:xfrm>
                    <a:prstGeom prst="rect">
                      <a:avLst/>
                    </a:prstGeom>
                    <a:noFill/>
                    <a:ln>
                      <a:noFill/>
                    </a:ln>
                  </pic:spPr>
                </pic:pic>
              </a:graphicData>
            </a:graphic>
          </wp:inline>
        </w:drawing>
      </w:r>
    </w:p>
    <w:p w14:paraId="71303121" w14:textId="77777777" w:rsidR="00050FA2" w:rsidRDefault="00050FA2" w:rsidP="00050FA2">
      <w:pPr>
        <w:jc w:val="center"/>
        <w:rPr>
          <w:color w:val="000000"/>
        </w:rPr>
      </w:pPr>
      <w:r>
        <w:rPr>
          <w:noProof/>
        </w:rPr>
        <mc:AlternateContent>
          <mc:Choice Requires="wps">
            <w:drawing>
              <wp:anchor distT="0" distB="0" distL="114300" distR="114300" simplePos="0" relativeHeight="251660288" behindDoc="0" locked="0" layoutInCell="1" allowOverlap="1" wp14:anchorId="0F981D55" wp14:editId="59AA014C">
                <wp:simplePos x="0" y="0"/>
                <wp:positionH relativeFrom="column">
                  <wp:posOffset>975360</wp:posOffset>
                </wp:positionH>
                <wp:positionV relativeFrom="paragraph">
                  <wp:posOffset>251460</wp:posOffset>
                </wp:positionV>
                <wp:extent cx="422910" cy="330200"/>
                <wp:effectExtent l="0" t="0" r="0" b="0"/>
                <wp:wrapNone/>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2910" cy="330200"/>
                        </a:xfrm>
                        <a:prstGeom prst="rect">
                          <a:avLst/>
                        </a:prstGeom>
                        <a:solidFill>
                          <a:sysClr val="window" lastClr="FFFFFF"/>
                        </a:solidFill>
                        <a:ln w="6350">
                          <a:noFill/>
                        </a:ln>
                      </wps:spPr>
                      <wps:txbx>
                        <w:txbxContent>
                          <w:p w14:paraId="78A34627" w14:textId="77777777" w:rsidR="00050FA2" w:rsidRPr="00890648" w:rsidRDefault="00050FA2" w:rsidP="00050FA2">
                            <w:pPr>
                              <w:jc w:val="center"/>
                              <w:rPr>
                                <w:sz w:val="32"/>
                                <w:szCs w:val="32"/>
                              </w:rPr>
                            </w:pPr>
                            <w:r>
                              <w:rPr>
                                <w:sz w:val="32"/>
                                <w:szCs w:val="32"/>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F981D55" id="Casella di testo 7" o:spid="_x0000_s1027" type="#_x0000_t202" style="position:absolute;left:0;text-align:left;margin-left:76.8pt;margin-top:19.8pt;width:33.3pt;height: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6CYWwIAALEEAAAOAAAAZHJzL2Uyb0RvYy54bWysVE2P2jAQvVfqf7B8L+FrvxBhRVlRVUK7&#10;K7HVno3jgFXH43oMCf31HTuBpdueqnIwHs/zjOe9mUzvm8qwg/KoweZ80OtzpqyEQtttzr+9LD/d&#10;coZB2EIYsCrnR4X8fvbxw7R2EzWEHZhCeUZBLE5ql/NdCG6SZSh3qhLYA6csOUvwlQhk+m1WeFFT&#10;9Mpkw37/OqvBF86DVIh0+tA6+SzFL0slw1NZogrM5JzeFtLq07qJazabisnWC7fTsnuG+IdXVEJb&#10;SnoO9SCCYHuv/whVaekBoQw9CVUGZamlSjVQNYP+u2rWO+FUqoXIQXemCf9fWPl4ePZMFzm/4cyK&#10;iiRaCFTGCFZoFhQGYDeRpdrhhMBrR/DQfIaG1E4Vo1uB/I4EyS4w7QUkdGSlKX0V/6leRhdJiOOZ&#10;fNUEJulwPBzeDcgjyTUa9UncmDZ7u+w8hi8KKhY3OfekbXqAOKwwtNATJOZCMLpYamOSccSF8ewg&#10;qA2oewqoOTMCAx3mfJl+XbbfrhnL6pxfj676KZOFGK9NZWxXcFtjLD00myZROTgRtoHiSHx5aPsO&#10;nVxqevyKMj8LT41G9dLwhCdaSgOUC7odZzvwP/92HvGkP3k5q6lxc44/9sIrKuirpc64G4zHsdOT&#10;Mb66GZLhLz2bS4/dVwsgUgY0pk6mbcQHc9qWHqpXmrF5zEouYSXlznk4bRehHSeaUanm8wSi3nYi&#10;rOzayVObRGlemlfhXadfIOEf4dTiYvJOxhYbtbMw3wcoddI48tyy2tFPc5G6pJvhOHiXdkK9fWlm&#10;vwAAAP//AwBQSwMEFAAGAAgAAAAhAPwr4R3hAAAACQEAAA8AAABkcnMvZG93bnJldi54bWxMj8FK&#10;w0AQhu+C77CM4M1ummKwMZsiomjBUE0LXrfZMYlmZ0N228Q+veNJT8PPfPzzTbaabCeOOPjWkYL5&#10;LAKBVDnTUq1gt328ugHhgyajO0eo4Bs9rPLzs0ynxo30hscy1IJLyKdaQRNCn0rpqwat9jPXI/Hu&#10;ww1WB45DLc2gRy63nYyjKJFWt8QXGt3jfYPVV3mwCt7H8mnYrNefr/1zcdqcyuIFHwqlLi+mu1sQ&#10;AafwB8OvPqtDzk57dyDjRcf5epEwqmCx5MlAHEcxiL2C5TwBmWfy/wf5DwAAAP//AwBQSwECLQAU&#10;AAYACAAAACEAtoM4kv4AAADhAQAAEwAAAAAAAAAAAAAAAAAAAAAAW0NvbnRlbnRfVHlwZXNdLnht&#10;bFBLAQItABQABgAIAAAAIQA4/SH/1gAAAJQBAAALAAAAAAAAAAAAAAAAAC8BAABfcmVscy8ucmVs&#10;c1BLAQItABQABgAIAAAAIQByy6CYWwIAALEEAAAOAAAAAAAAAAAAAAAAAC4CAABkcnMvZTJvRG9j&#10;LnhtbFBLAQItABQABgAIAAAAIQD8K+Ed4QAAAAkBAAAPAAAAAAAAAAAAAAAAALUEAABkcnMvZG93&#10;bnJldi54bWxQSwUGAAAAAAQABADzAAAAwwUAAAAA&#10;" fillcolor="window" stroked="f" strokeweight=".5pt">
                <v:textbox>
                  <w:txbxContent>
                    <w:p w14:paraId="78A34627" w14:textId="77777777" w:rsidR="00050FA2" w:rsidRPr="00890648" w:rsidRDefault="00050FA2" w:rsidP="00050FA2">
                      <w:pPr>
                        <w:jc w:val="center"/>
                        <w:rPr>
                          <w:sz w:val="32"/>
                          <w:szCs w:val="32"/>
                        </w:rPr>
                      </w:pPr>
                      <w:r>
                        <w:rPr>
                          <w:sz w:val="32"/>
                          <w:szCs w:val="32"/>
                        </w:rPr>
                        <w:t>b</w:t>
                      </w:r>
                    </w:p>
                  </w:txbxContent>
                </v:textbox>
              </v:shape>
            </w:pict>
          </mc:Fallback>
        </mc:AlternateContent>
      </w:r>
      <w:r w:rsidRPr="00115A27">
        <w:rPr>
          <w:noProof/>
        </w:rPr>
        <w:drawing>
          <wp:inline distT="0" distB="0" distL="0" distR="0" wp14:anchorId="6A009C05" wp14:editId="346E5CBC">
            <wp:extent cx="5046980" cy="3366770"/>
            <wp:effectExtent l="0" t="0" r="1270" b="5080"/>
            <wp:docPr id="2" name="Immagine 2" descr="Immagine che contiene testo, schermata, linea, Diagramm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Immagine che contiene testo, schermata, linea, Diagramma&#10;&#10;Il contenuto generato dall'IA potrebbe non essere corrett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6980" cy="3366770"/>
                    </a:xfrm>
                    <a:prstGeom prst="rect">
                      <a:avLst/>
                    </a:prstGeom>
                    <a:noFill/>
                    <a:ln>
                      <a:noFill/>
                    </a:ln>
                  </pic:spPr>
                </pic:pic>
              </a:graphicData>
            </a:graphic>
          </wp:inline>
        </w:drawing>
      </w:r>
    </w:p>
    <w:p w14:paraId="60D9C376" w14:textId="77777777" w:rsidR="00050FA2" w:rsidRDefault="00050FA2" w:rsidP="00050FA2">
      <w:pPr>
        <w:jc w:val="center"/>
        <w:rPr>
          <w:i/>
          <w:iCs/>
          <w:color w:val="000000"/>
        </w:rPr>
      </w:pPr>
      <w:r>
        <w:rPr>
          <w:noProof/>
        </w:rPr>
        <mc:AlternateContent>
          <mc:Choice Requires="wps">
            <w:drawing>
              <wp:anchor distT="0" distB="0" distL="114300" distR="114300" simplePos="0" relativeHeight="251661312" behindDoc="0" locked="0" layoutInCell="1" allowOverlap="1" wp14:anchorId="08E867E0" wp14:editId="56E5AC1A">
                <wp:simplePos x="0" y="0"/>
                <wp:positionH relativeFrom="column">
                  <wp:posOffset>1911350</wp:posOffset>
                </wp:positionH>
                <wp:positionV relativeFrom="paragraph">
                  <wp:posOffset>716280</wp:posOffset>
                </wp:positionV>
                <wp:extent cx="422910" cy="330200"/>
                <wp:effectExtent l="0" t="0" r="0" b="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2910" cy="330200"/>
                        </a:xfrm>
                        <a:prstGeom prst="rect">
                          <a:avLst/>
                        </a:prstGeom>
                        <a:solidFill>
                          <a:sysClr val="window" lastClr="FFFFFF"/>
                        </a:solidFill>
                        <a:ln w="6350">
                          <a:noFill/>
                        </a:ln>
                      </wps:spPr>
                      <wps:txbx>
                        <w:txbxContent>
                          <w:p w14:paraId="386AED20" w14:textId="77777777" w:rsidR="00050FA2" w:rsidRPr="00890648" w:rsidRDefault="00050FA2" w:rsidP="00050FA2">
                            <w:pPr>
                              <w:jc w:val="center"/>
                              <w:rPr>
                                <w:sz w:val="32"/>
                                <w:szCs w:val="32"/>
                              </w:rPr>
                            </w:pPr>
                            <w:r w:rsidRPr="00890648">
                              <w:rPr>
                                <w:sz w:val="32"/>
                                <w:szCs w:val="32"/>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8E867E0" id="Casella di testo 6" o:spid="_x0000_s1028" type="#_x0000_t202" style="position:absolute;left:0;text-align:left;margin-left:150.5pt;margin-top:56.4pt;width:33.3pt;height: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CNgWwIAALEEAAAOAAAAZHJzL2Uyb0RvYy54bWysVE1vGjEQvVfqf7B8L8tXaINYIkpEVQkl&#10;kUiVs/F6warX43oMu/TXd+xdCE17qsrBeDzPM573ZnZ211SGHZVHDTbng16fM2UlFNrucv7tefXh&#10;E2cYhC2EAatyflLI7+bv381qN1VD2IMplGcUxOK0djnfh+CmWYZyryqBPXDKkrMEX4lApt9lhRc1&#10;Ra9MNuz3J1kNvnAepEKk0/vWyecpflkqGR7LElVgJuf0tpBWn9ZtXLP5TEx3Xri9lt0zxD+8ohLa&#10;UtJLqHsRBDt4/UeoSksPCGXoSagyKEstVaqBqhn031Sz2QunUi1EDroLTfj/wsqH45Nnusj5hDMr&#10;KpJoKVAZI1ihWVAYgE0iS7XDKYE3juCh+QwNqZ0qRrcG+R0Jkl1h2gtI6MhKU/oq/lO9jC6SEKcL&#10;+aoJTNLheDi8HZBHkms06pO4MW32etl5DF8UVCxucu5J2/QAcVxjaKFnSMyFYHSx0sYk44RL49lR&#10;UBtQ9xRQc2YEBjrM+Sr9umy/XTOW1cTM6KafMlmI8dpUxnYFtzXG0kOzbRKVwzNhWyhOxJeHtu/Q&#10;yZWmx68p85Pw1GhULw1PeKSlNEC5oNtxtgf/82/nEU/6k5ezmho35/jjILyigr5a6ozbwXgcOz0Z&#10;45uPQzL8tWd77bGHaglEyoDG1Mm0jfhgztvSQ/VCM7aIWcklrKTcOQ/n7TK040QzKtVikUDU206E&#10;td04eW6TKM1z8yK86/QLJPwDnFtcTN/I2GKjdhYWhwClThpHnltWO/ppLlKXdDMcB+/aTqjXL838&#10;FwAAAP//AwBQSwMEFAAGAAgAAAAhAEQEzQTiAAAACwEAAA8AAABkcnMvZG93bnJldi54bWxMj0FL&#10;w0AQhe+C/2EZwZvdpJVYYjZFRNGCoZoWvG6TMYlmZ8Puton99Y4nPc57jzfvy1aT6cURne8sKYhn&#10;EQikytYdNQp228erJQgfNNW6t4QKvtHDKj8/y3Ra25He8FiGRnAJ+VQraEMYUil91aLRfmYHJPY+&#10;rDM68OkaWTs9crnp5TyKEml0R/yh1QPet1h9lQej4H0sn9xmvf58HZ6L0+ZUFi/4UCh1eTHd3YII&#10;OIW/MPzO5+mQ86a9PVDtRa9gEcXMEtiI58zAiUVyk4DYs5JcL0HmmfzPkP8AAAD//wMAUEsBAi0A&#10;FAAGAAgAAAAhALaDOJL+AAAA4QEAABMAAAAAAAAAAAAAAAAAAAAAAFtDb250ZW50X1R5cGVzXS54&#10;bWxQSwECLQAUAAYACAAAACEAOP0h/9YAAACUAQAACwAAAAAAAAAAAAAAAAAvAQAAX3JlbHMvLnJl&#10;bHNQSwECLQAUAAYACAAAACEAdQgjYFsCAACxBAAADgAAAAAAAAAAAAAAAAAuAgAAZHJzL2Uyb0Rv&#10;Yy54bWxQSwECLQAUAAYACAAAACEARATNBOIAAAALAQAADwAAAAAAAAAAAAAAAAC1BAAAZHJzL2Rv&#10;d25yZXYueG1sUEsFBgAAAAAEAAQA8wAAAMQFAAAAAA==&#10;" fillcolor="window" stroked="f" strokeweight=".5pt">
                <v:textbox>
                  <w:txbxContent>
                    <w:p w14:paraId="386AED20" w14:textId="77777777" w:rsidR="00050FA2" w:rsidRPr="00890648" w:rsidRDefault="00050FA2" w:rsidP="00050FA2">
                      <w:pPr>
                        <w:jc w:val="center"/>
                        <w:rPr>
                          <w:sz w:val="32"/>
                          <w:szCs w:val="32"/>
                        </w:rPr>
                      </w:pPr>
                      <w:r w:rsidRPr="00890648">
                        <w:rPr>
                          <w:sz w:val="32"/>
                          <w:szCs w:val="32"/>
                        </w:rPr>
                        <w:t>a</w:t>
                      </w:r>
                    </w:p>
                  </w:txbxContent>
                </v:textbox>
              </v:shape>
            </w:pict>
          </mc:Fallback>
        </mc:AlternateContent>
      </w:r>
      <w:r w:rsidRPr="00E4517F">
        <w:rPr>
          <w:i/>
          <w:iCs/>
          <w:color w:val="000000"/>
        </w:rPr>
        <w:t>Fig</w:t>
      </w:r>
      <w:r>
        <w:rPr>
          <w:i/>
          <w:iCs/>
          <w:color w:val="000000"/>
        </w:rPr>
        <w:t>ure</w:t>
      </w:r>
      <w:r w:rsidRPr="00E4517F">
        <w:rPr>
          <w:i/>
          <w:iCs/>
          <w:color w:val="000000"/>
        </w:rPr>
        <w:t xml:space="preserve"> </w:t>
      </w:r>
      <w:r>
        <w:rPr>
          <w:i/>
          <w:iCs/>
          <w:color w:val="000000"/>
        </w:rPr>
        <w:t>2</w:t>
      </w:r>
      <w:r w:rsidRPr="00E4517F">
        <w:rPr>
          <w:i/>
          <w:iCs/>
          <w:color w:val="000000"/>
        </w:rPr>
        <w:t xml:space="preserve">. </w:t>
      </w:r>
      <w:bookmarkStart w:id="10" w:name="_Hlk192151754"/>
      <w:r w:rsidRPr="00E4517F">
        <w:rPr>
          <w:i/>
          <w:iCs/>
          <w:color w:val="000000"/>
        </w:rPr>
        <w:t>a) XRD</w:t>
      </w:r>
      <w:r w:rsidRPr="00BE7B40">
        <w:rPr>
          <w:i/>
          <w:iCs/>
          <w:color w:val="000000"/>
        </w:rPr>
        <w:t xml:space="preserve"> pattern related to qualitative analysis of the simulant </w:t>
      </w:r>
      <w:r>
        <w:rPr>
          <w:i/>
          <w:iCs/>
          <w:color w:val="000000"/>
        </w:rPr>
        <w:t>JSC Mars</w:t>
      </w:r>
      <w:r w:rsidRPr="00BE7B40">
        <w:rPr>
          <w:i/>
          <w:iCs/>
          <w:color w:val="000000"/>
        </w:rPr>
        <w:t xml:space="preserve">-1; b) XRD pattern related to quantitative analysis of the simulant </w:t>
      </w:r>
      <w:r>
        <w:rPr>
          <w:i/>
          <w:iCs/>
          <w:color w:val="000000"/>
        </w:rPr>
        <w:t>JSC Mars</w:t>
      </w:r>
      <w:r w:rsidRPr="00BE7B40">
        <w:rPr>
          <w:i/>
          <w:iCs/>
          <w:color w:val="000000"/>
        </w:rPr>
        <w:t>-1: minerals detected are shown in different colors. The gray curve at the bottom represents the differences, in terms of intensities, between the measured (black) pattern and the fitted (red) pattern, it shows effectively the goodness of the fit.</w:t>
      </w:r>
      <w:bookmarkEnd w:id="10"/>
    </w:p>
    <w:p w14:paraId="1D2C651A" w14:textId="77777777" w:rsidR="00050FA2" w:rsidRDefault="00050FA2" w:rsidP="00050FA2">
      <w:pPr>
        <w:jc w:val="center"/>
        <w:rPr>
          <w:i/>
          <w:iCs/>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tblGrid>
      <w:tr w:rsidR="00050FA2" w:rsidRPr="00BE7B40" w14:paraId="752D1B1D" w14:textId="77777777" w:rsidTr="00A902EB">
        <w:trPr>
          <w:jc w:val="center"/>
        </w:trPr>
        <w:tc>
          <w:tcPr>
            <w:tcW w:w="1294" w:type="dxa"/>
            <w:shd w:val="clear" w:color="auto" w:fill="D9F2D0"/>
          </w:tcPr>
          <w:p w14:paraId="4B2F6B1D" w14:textId="77777777" w:rsidR="00050FA2" w:rsidRPr="008F0641" w:rsidRDefault="00050FA2" w:rsidP="00A902EB">
            <w:pPr>
              <w:rPr>
                <w:b/>
              </w:rPr>
            </w:pPr>
            <w:bookmarkStart w:id="11" w:name="_Hlk192151776"/>
            <w:r w:rsidRPr="008F0641">
              <w:rPr>
                <w:b/>
              </w:rPr>
              <w:t xml:space="preserve">Components </w:t>
            </w:r>
          </w:p>
        </w:tc>
      </w:tr>
      <w:tr w:rsidR="00050FA2" w:rsidRPr="00BE7B40" w14:paraId="726CD708" w14:textId="77777777" w:rsidTr="00A902EB">
        <w:trPr>
          <w:jc w:val="center"/>
        </w:trPr>
        <w:tc>
          <w:tcPr>
            <w:tcW w:w="1294" w:type="dxa"/>
          </w:tcPr>
          <w:p w14:paraId="5E7610BC" w14:textId="77777777" w:rsidR="00050FA2" w:rsidRPr="008F0641" w:rsidRDefault="00050FA2" w:rsidP="00A902EB">
            <w:pPr>
              <w:jc w:val="center"/>
              <w:rPr>
                <w:iCs/>
              </w:rPr>
            </w:pPr>
            <w:r w:rsidRPr="008F0641">
              <w:rPr>
                <w:iCs/>
              </w:rPr>
              <w:t>plagioclase</w:t>
            </w:r>
          </w:p>
        </w:tc>
      </w:tr>
      <w:tr w:rsidR="00050FA2" w:rsidRPr="00BE7B40" w14:paraId="25CA7C32" w14:textId="77777777" w:rsidTr="00A902EB">
        <w:trPr>
          <w:jc w:val="center"/>
        </w:trPr>
        <w:tc>
          <w:tcPr>
            <w:tcW w:w="1294" w:type="dxa"/>
          </w:tcPr>
          <w:p w14:paraId="54824CD5" w14:textId="77777777" w:rsidR="00050FA2" w:rsidRPr="008F0641" w:rsidRDefault="00050FA2" w:rsidP="00A902EB">
            <w:pPr>
              <w:jc w:val="center"/>
              <w:rPr>
                <w:iCs/>
              </w:rPr>
            </w:pPr>
            <w:r w:rsidRPr="008F0641">
              <w:rPr>
                <w:iCs/>
              </w:rPr>
              <w:t>pyroxene</w:t>
            </w:r>
          </w:p>
        </w:tc>
      </w:tr>
      <w:tr w:rsidR="00050FA2" w:rsidRPr="00BE7B40" w14:paraId="1F4E227C" w14:textId="77777777" w:rsidTr="00A902EB">
        <w:trPr>
          <w:jc w:val="center"/>
        </w:trPr>
        <w:tc>
          <w:tcPr>
            <w:tcW w:w="1294" w:type="dxa"/>
          </w:tcPr>
          <w:p w14:paraId="640B4475" w14:textId="77777777" w:rsidR="00050FA2" w:rsidRPr="008F0641" w:rsidRDefault="00050FA2" w:rsidP="00A902EB">
            <w:pPr>
              <w:jc w:val="center"/>
              <w:rPr>
                <w:iCs/>
              </w:rPr>
            </w:pPr>
            <w:r w:rsidRPr="008F0641">
              <w:rPr>
                <w:iCs/>
              </w:rPr>
              <w:t>olivine</w:t>
            </w:r>
          </w:p>
        </w:tc>
      </w:tr>
      <w:tr w:rsidR="00050FA2" w:rsidRPr="00BE7B40" w14:paraId="3CDA1241" w14:textId="77777777" w:rsidTr="00A902EB">
        <w:trPr>
          <w:jc w:val="center"/>
        </w:trPr>
        <w:tc>
          <w:tcPr>
            <w:tcW w:w="1294" w:type="dxa"/>
          </w:tcPr>
          <w:p w14:paraId="138DAAB1" w14:textId="77777777" w:rsidR="00050FA2" w:rsidRPr="008F0641" w:rsidRDefault="00050FA2" w:rsidP="00A902EB">
            <w:pPr>
              <w:jc w:val="center"/>
              <w:rPr>
                <w:iCs/>
              </w:rPr>
            </w:pPr>
            <w:r w:rsidRPr="00BE7B40">
              <w:t>magnetite</w:t>
            </w:r>
          </w:p>
        </w:tc>
      </w:tr>
      <w:tr w:rsidR="00050FA2" w:rsidRPr="00BE7B40" w14:paraId="02DA3E53" w14:textId="77777777" w:rsidTr="00A902EB">
        <w:trPr>
          <w:jc w:val="center"/>
        </w:trPr>
        <w:tc>
          <w:tcPr>
            <w:tcW w:w="1294" w:type="dxa"/>
          </w:tcPr>
          <w:p w14:paraId="14FB2C2C" w14:textId="77777777" w:rsidR="00050FA2" w:rsidRPr="00BE7B40" w:rsidRDefault="00050FA2" w:rsidP="00A902EB">
            <w:pPr>
              <w:jc w:val="center"/>
            </w:pPr>
            <w:r w:rsidRPr="008F0641">
              <w:rPr>
                <w:iCs/>
              </w:rPr>
              <w:t>mica</w:t>
            </w:r>
          </w:p>
        </w:tc>
      </w:tr>
      <w:tr w:rsidR="00050FA2" w:rsidRPr="00BE7B40" w14:paraId="4B744FDD" w14:textId="77777777" w:rsidTr="00A902EB">
        <w:trPr>
          <w:jc w:val="center"/>
        </w:trPr>
        <w:tc>
          <w:tcPr>
            <w:tcW w:w="1294" w:type="dxa"/>
          </w:tcPr>
          <w:p w14:paraId="09959B52" w14:textId="77777777" w:rsidR="00050FA2" w:rsidRPr="008F0641" w:rsidRDefault="00050FA2" w:rsidP="00A902EB">
            <w:pPr>
              <w:jc w:val="center"/>
              <w:rPr>
                <w:iCs/>
              </w:rPr>
            </w:pPr>
            <w:r w:rsidRPr="008F0641">
              <w:rPr>
                <w:iCs/>
              </w:rPr>
              <w:t>quartz</w:t>
            </w:r>
          </w:p>
        </w:tc>
      </w:tr>
      <w:tr w:rsidR="00050FA2" w:rsidRPr="00BE7B40" w14:paraId="5BD4994D" w14:textId="77777777" w:rsidTr="00A902EB">
        <w:trPr>
          <w:jc w:val="center"/>
        </w:trPr>
        <w:tc>
          <w:tcPr>
            <w:tcW w:w="1294" w:type="dxa"/>
          </w:tcPr>
          <w:p w14:paraId="4828AF29" w14:textId="77777777" w:rsidR="00050FA2" w:rsidRPr="008F0641" w:rsidRDefault="00050FA2" w:rsidP="00A902EB">
            <w:pPr>
              <w:jc w:val="center"/>
              <w:rPr>
                <w:iCs/>
              </w:rPr>
            </w:pPr>
            <w:r w:rsidRPr="008F0641">
              <w:rPr>
                <w:iCs/>
              </w:rPr>
              <w:t>gypsum</w:t>
            </w:r>
          </w:p>
        </w:tc>
      </w:tr>
    </w:tbl>
    <w:bookmarkEnd w:id="11"/>
    <w:p w14:paraId="0609FDE9" w14:textId="77777777" w:rsidR="00050FA2" w:rsidRPr="00BE7B40" w:rsidRDefault="00050FA2" w:rsidP="00050FA2">
      <w:r>
        <w:rPr>
          <w:noProof/>
        </w:rPr>
        <mc:AlternateContent>
          <mc:Choice Requires="wps">
            <w:drawing>
              <wp:anchor distT="0" distB="0" distL="114300" distR="114300" simplePos="0" relativeHeight="251662336" behindDoc="0" locked="0" layoutInCell="1" allowOverlap="1" wp14:anchorId="44085655" wp14:editId="0EE4E282">
                <wp:simplePos x="0" y="0"/>
                <wp:positionH relativeFrom="column">
                  <wp:posOffset>1437005</wp:posOffset>
                </wp:positionH>
                <wp:positionV relativeFrom="paragraph">
                  <wp:posOffset>266700</wp:posOffset>
                </wp:positionV>
                <wp:extent cx="422910" cy="330200"/>
                <wp:effectExtent l="0" t="0" r="0" b="0"/>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2910" cy="330200"/>
                        </a:xfrm>
                        <a:prstGeom prst="rect">
                          <a:avLst/>
                        </a:prstGeom>
                        <a:solidFill>
                          <a:sysClr val="window" lastClr="FFFFFF"/>
                        </a:solidFill>
                        <a:ln w="6350">
                          <a:noFill/>
                        </a:ln>
                      </wps:spPr>
                      <wps:txbx>
                        <w:txbxContent>
                          <w:p w14:paraId="1F4BC8E5" w14:textId="77777777" w:rsidR="00050FA2" w:rsidRPr="00890648" w:rsidRDefault="00050FA2" w:rsidP="00050FA2">
                            <w:pPr>
                              <w:jc w:val="center"/>
                              <w:rPr>
                                <w:sz w:val="32"/>
                                <w:szCs w:val="32"/>
                              </w:rPr>
                            </w:pPr>
                            <w:r>
                              <w:rPr>
                                <w:sz w:val="32"/>
                                <w:szCs w:val="32"/>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4085655" id="Casella di testo 5" o:spid="_x0000_s1029" type="#_x0000_t202" style="position:absolute;margin-left:113.15pt;margin-top:21pt;width:33.3pt;height:2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gpRWwIAALEEAAAOAAAAZHJzL2Uyb0RvYy54bWysVE1vGjEQvVfqf7B8L8tn2iCWiBJRVUJJ&#10;JFLlbLxesOr1uB7DLv31HXsXQtOeqnIwHs/zjOe9mZ3dNZVhR+VRg835oNfnTFkJhba7nH97Xn34&#10;xBkGYQthwKqcnxTyu/n7d7PaTdUQ9mAK5RkFsTitXc73IbhplqHcq0pgD5yy5CzBVyKQ6XdZ4UVN&#10;0SuTDfv9m6wGXzgPUiHS6X3r5PMUvyyVDI9liSowk3N6W0irT+s2rtl8JqY7L9xey+4Z4h9eUQlt&#10;Kekl1L0Igh28/iNUpaUHhDL0JFQZlKWWKtVA1Qz6b6rZ7IVTqRYiB92FJvx/YeXD8ckzXeR8wpkV&#10;FUm0FKiMEazQLCgMwCaRpdrhlMAbR/DQfIaG1E4Vo1uD/I4Eya4w7QUkdGSlKX0V/6leRhdJiNOF&#10;fNUEJulwPBzeDsgjyTUa9UncmDZ7vew8hi8KKhY3OfekbXqAOK4xtNAzJOZCMLpYaWOSccKl8ewo&#10;qA2oewqoOTMCAx3mfJV+XbbfrhnL6pzfjCb9lMlCjNemMrYruK0xlh6abZOoHJ0J20JxIr48tH2H&#10;Tq40PX5NmZ+Ep0ajeml4wiMtpQHKBd2Osz34n387j3jSn7yc1dS4OccfB+EVFfTVUmfcDsbj2OnJ&#10;GE8+Dsnw157ttcceqiUQKQMaUyfTNuKDOW9LD9ULzdgiZiWXsJJy5zyct8vQjhPNqFSLRQJRbzsR&#10;1nbj5LlNojTPzYvwrtMvkPAPcG5xMX0jY4uN2llYHAKUOmkceW5Z7einuUhd0s1wHLxrO6FevzTz&#10;XwAAAP//AwBQSwMEFAAGAAgAAAAhAMFEElbhAAAACQEAAA8AAABkcnMvZG93bnJldi54bWxMj1FL&#10;wzAUhd8F/0O4gm8uNY5ha9MhoujAMtcJvmbNta02NyXJ1rpfv/ikj5f7cc538uVkenZA5ztLEq5n&#10;CTCk2uqOGgnv26erW2A+KNKqt4QSftDDsjg/y1Wm7UgbPFShYTGEfKYktCEMGee+btEoP7MDUvx9&#10;WmdUiKdruHZqjOGm5yJJFtyojmJDqwZ8aLH+rvZGwsdYPbv1avX1NryUx/WxKl/xsZTy8mK6vwMW&#10;cAp/MPzqR3UootPO7kl71ksQYnETUQlzETdFQKQiBbaTkM4T4EXO/y8oTgAAAP//AwBQSwECLQAU&#10;AAYACAAAACEAtoM4kv4AAADhAQAAEwAAAAAAAAAAAAAAAAAAAAAAW0NvbnRlbnRfVHlwZXNdLnht&#10;bFBLAQItABQABgAIAAAAIQA4/SH/1gAAAJQBAAALAAAAAAAAAAAAAAAAAC8BAABfcmVscy8ucmVs&#10;c1BLAQItABQABgAIAAAAIQBDjgpRWwIAALEEAAAOAAAAAAAAAAAAAAAAAC4CAABkcnMvZTJvRG9j&#10;LnhtbFBLAQItABQABgAIAAAAIQDBRBJW4QAAAAkBAAAPAAAAAAAAAAAAAAAAALUEAABkcnMvZG93&#10;bnJldi54bWxQSwUGAAAAAAQABADzAAAAwwUAAAAA&#10;" fillcolor="window" stroked="f" strokeweight=".5pt">
                <v:textbox>
                  <w:txbxContent>
                    <w:p w14:paraId="1F4BC8E5" w14:textId="77777777" w:rsidR="00050FA2" w:rsidRPr="00890648" w:rsidRDefault="00050FA2" w:rsidP="00050FA2">
                      <w:pPr>
                        <w:jc w:val="center"/>
                        <w:rPr>
                          <w:sz w:val="32"/>
                          <w:szCs w:val="32"/>
                        </w:rPr>
                      </w:pPr>
                      <w:r>
                        <w:rPr>
                          <w:sz w:val="32"/>
                          <w:szCs w:val="32"/>
                        </w:rPr>
                        <w:t>b</w:t>
                      </w:r>
                    </w:p>
                  </w:txbxContent>
                </v:textbox>
              </v:shape>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
        <w:gridCol w:w="1399"/>
      </w:tblGrid>
      <w:tr w:rsidR="00050FA2" w:rsidRPr="00BE7B40" w14:paraId="7276E573" w14:textId="77777777" w:rsidTr="00A902EB">
        <w:trPr>
          <w:jc w:val="center"/>
        </w:trPr>
        <w:tc>
          <w:tcPr>
            <w:tcW w:w="1431" w:type="dxa"/>
            <w:shd w:val="clear" w:color="auto" w:fill="D9F2D0"/>
          </w:tcPr>
          <w:p w14:paraId="485E8C71" w14:textId="77777777" w:rsidR="00050FA2" w:rsidRPr="008F0641" w:rsidRDefault="00050FA2" w:rsidP="00A902EB">
            <w:pPr>
              <w:jc w:val="center"/>
              <w:rPr>
                <w:b/>
              </w:rPr>
            </w:pPr>
            <w:bookmarkStart w:id="12" w:name="_Hlk192151793"/>
            <w:r w:rsidRPr="008F0641">
              <w:rPr>
                <w:b/>
              </w:rPr>
              <w:t xml:space="preserve">Components </w:t>
            </w:r>
          </w:p>
        </w:tc>
        <w:tc>
          <w:tcPr>
            <w:tcW w:w="1399" w:type="dxa"/>
            <w:shd w:val="clear" w:color="auto" w:fill="D9F2D0"/>
          </w:tcPr>
          <w:p w14:paraId="6E3E98C0" w14:textId="77777777" w:rsidR="00050FA2" w:rsidRPr="008F0641" w:rsidRDefault="00050FA2" w:rsidP="00A902EB">
            <w:pPr>
              <w:jc w:val="center"/>
              <w:rPr>
                <w:b/>
              </w:rPr>
            </w:pPr>
            <w:r w:rsidRPr="008F0641">
              <w:rPr>
                <w:b/>
              </w:rPr>
              <w:t>Amount (m%)</w:t>
            </w:r>
          </w:p>
        </w:tc>
      </w:tr>
      <w:tr w:rsidR="00050FA2" w:rsidRPr="00BE7B40" w14:paraId="128B3EEF" w14:textId="77777777" w:rsidTr="00A902EB">
        <w:trPr>
          <w:jc w:val="center"/>
        </w:trPr>
        <w:tc>
          <w:tcPr>
            <w:tcW w:w="1431" w:type="dxa"/>
          </w:tcPr>
          <w:p w14:paraId="564D559A" w14:textId="77777777" w:rsidR="00050FA2" w:rsidRPr="00BE7B40" w:rsidRDefault="00050FA2" w:rsidP="00A902EB">
            <w:pPr>
              <w:jc w:val="center"/>
            </w:pPr>
            <w:r w:rsidRPr="008F0641">
              <w:rPr>
                <w:iCs/>
              </w:rPr>
              <w:t>plagioclase</w:t>
            </w:r>
          </w:p>
        </w:tc>
        <w:tc>
          <w:tcPr>
            <w:tcW w:w="1399" w:type="dxa"/>
          </w:tcPr>
          <w:p w14:paraId="6FD9D347" w14:textId="77777777" w:rsidR="00050FA2" w:rsidRPr="008F0641" w:rsidRDefault="00050FA2" w:rsidP="00A902EB">
            <w:pPr>
              <w:jc w:val="center"/>
              <w:rPr>
                <w:iCs/>
              </w:rPr>
            </w:pPr>
            <w:r w:rsidRPr="008F0641">
              <w:rPr>
                <w:iCs/>
              </w:rPr>
              <w:t>28.4</w:t>
            </w:r>
          </w:p>
        </w:tc>
      </w:tr>
      <w:tr w:rsidR="00050FA2" w:rsidRPr="00BE7B40" w14:paraId="13384DB9" w14:textId="77777777" w:rsidTr="00A902EB">
        <w:trPr>
          <w:jc w:val="center"/>
        </w:trPr>
        <w:tc>
          <w:tcPr>
            <w:tcW w:w="1431" w:type="dxa"/>
          </w:tcPr>
          <w:p w14:paraId="02FA1F49" w14:textId="77777777" w:rsidR="00050FA2" w:rsidRPr="00BE7B40" w:rsidRDefault="00050FA2" w:rsidP="00A902EB">
            <w:pPr>
              <w:jc w:val="center"/>
            </w:pPr>
            <w:r w:rsidRPr="008F0641">
              <w:rPr>
                <w:iCs/>
              </w:rPr>
              <w:t>pyroxene</w:t>
            </w:r>
          </w:p>
        </w:tc>
        <w:tc>
          <w:tcPr>
            <w:tcW w:w="1399" w:type="dxa"/>
          </w:tcPr>
          <w:p w14:paraId="508ED96F" w14:textId="77777777" w:rsidR="00050FA2" w:rsidRPr="008F0641" w:rsidRDefault="00050FA2" w:rsidP="00A902EB">
            <w:pPr>
              <w:jc w:val="center"/>
              <w:rPr>
                <w:iCs/>
              </w:rPr>
            </w:pPr>
            <w:r w:rsidRPr="008F0641">
              <w:rPr>
                <w:iCs/>
              </w:rPr>
              <w:t>5.7</w:t>
            </w:r>
          </w:p>
        </w:tc>
      </w:tr>
      <w:tr w:rsidR="00050FA2" w:rsidRPr="00BE7B40" w14:paraId="3A0834AD" w14:textId="77777777" w:rsidTr="00A902EB">
        <w:trPr>
          <w:jc w:val="center"/>
        </w:trPr>
        <w:tc>
          <w:tcPr>
            <w:tcW w:w="1431" w:type="dxa"/>
          </w:tcPr>
          <w:p w14:paraId="720A66E1" w14:textId="77777777" w:rsidR="00050FA2" w:rsidRPr="00BE7B40" w:rsidRDefault="00050FA2" w:rsidP="00A902EB">
            <w:pPr>
              <w:jc w:val="center"/>
            </w:pPr>
            <w:r w:rsidRPr="008F0641">
              <w:rPr>
                <w:iCs/>
              </w:rPr>
              <w:t>olivine</w:t>
            </w:r>
          </w:p>
        </w:tc>
        <w:tc>
          <w:tcPr>
            <w:tcW w:w="1399" w:type="dxa"/>
          </w:tcPr>
          <w:p w14:paraId="1419BA2E" w14:textId="77777777" w:rsidR="00050FA2" w:rsidRPr="008F0641" w:rsidRDefault="00050FA2" w:rsidP="00A902EB">
            <w:pPr>
              <w:jc w:val="center"/>
              <w:rPr>
                <w:iCs/>
              </w:rPr>
            </w:pPr>
            <w:r w:rsidRPr="008F0641">
              <w:rPr>
                <w:iCs/>
              </w:rPr>
              <w:t>5.4</w:t>
            </w:r>
          </w:p>
        </w:tc>
      </w:tr>
      <w:tr w:rsidR="00050FA2" w:rsidRPr="00BE7B40" w14:paraId="2C976AED" w14:textId="77777777" w:rsidTr="00A902EB">
        <w:trPr>
          <w:jc w:val="center"/>
        </w:trPr>
        <w:tc>
          <w:tcPr>
            <w:tcW w:w="1431" w:type="dxa"/>
          </w:tcPr>
          <w:p w14:paraId="67D9B300" w14:textId="77777777" w:rsidR="00050FA2" w:rsidRPr="008F0641" w:rsidRDefault="00050FA2" w:rsidP="00A902EB">
            <w:pPr>
              <w:jc w:val="center"/>
              <w:rPr>
                <w:iCs/>
              </w:rPr>
            </w:pPr>
            <w:r w:rsidRPr="00BE7B40">
              <w:t>magnetite</w:t>
            </w:r>
          </w:p>
        </w:tc>
        <w:tc>
          <w:tcPr>
            <w:tcW w:w="1399" w:type="dxa"/>
          </w:tcPr>
          <w:p w14:paraId="25B50542" w14:textId="77777777" w:rsidR="00050FA2" w:rsidRPr="008F0641" w:rsidRDefault="00050FA2" w:rsidP="00A902EB">
            <w:pPr>
              <w:jc w:val="center"/>
              <w:rPr>
                <w:iCs/>
              </w:rPr>
            </w:pPr>
            <w:r w:rsidRPr="008F0641">
              <w:rPr>
                <w:iCs/>
              </w:rPr>
              <w:t>2.9</w:t>
            </w:r>
          </w:p>
        </w:tc>
      </w:tr>
      <w:tr w:rsidR="00050FA2" w:rsidRPr="00BE7B40" w14:paraId="732F3C8E" w14:textId="77777777" w:rsidTr="00A902EB">
        <w:trPr>
          <w:jc w:val="center"/>
        </w:trPr>
        <w:tc>
          <w:tcPr>
            <w:tcW w:w="1431" w:type="dxa"/>
          </w:tcPr>
          <w:p w14:paraId="47EDD78B" w14:textId="77777777" w:rsidR="00050FA2" w:rsidRPr="00BE7B40" w:rsidRDefault="00050FA2" w:rsidP="00A902EB">
            <w:pPr>
              <w:jc w:val="center"/>
            </w:pPr>
            <w:r w:rsidRPr="008F0641">
              <w:rPr>
                <w:iCs/>
              </w:rPr>
              <w:lastRenderedPageBreak/>
              <w:t>mica</w:t>
            </w:r>
          </w:p>
        </w:tc>
        <w:tc>
          <w:tcPr>
            <w:tcW w:w="1399" w:type="dxa"/>
          </w:tcPr>
          <w:p w14:paraId="0A72DA59" w14:textId="77777777" w:rsidR="00050FA2" w:rsidRPr="008F0641" w:rsidRDefault="00050FA2" w:rsidP="00A902EB">
            <w:pPr>
              <w:jc w:val="center"/>
              <w:rPr>
                <w:iCs/>
              </w:rPr>
            </w:pPr>
            <w:r w:rsidRPr="008F0641">
              <w:rPr>
                <w:iCs/>
              </w:rPr>
              <w:t>2.8</w:t>
            </w:r>
          </w:p>
        </w:tc>
      </w:tr>
      <w:tr w:rsidR="00050FA2" w:rsidRPr="00BE7B40" w14:paraId="1D6B40C0" w14:textId="77777777" w:rsidTr="00A902EB">
        <w:trPr>
          <w:jc w:val="center"/>
        </w:trPr>
        <w:tc>
          <w:tcPr>
            <w:tcW w:w="1431" w:type="dxa"/>
          </w:tcPr>
          <w:p w14:paraId="76330493" w14:textId="77777777" w:rsidR="00050FA2" w:rsidRPr="00BE7B40" w:rsidRDefault="00050FA2" w:rsidP="00A902EB">
            <w:pPr>
              <w:jc w:val="center"/>
            </w:pPr>
            <w:r w:rsidRPr="008F0641">
              <w:rPr>
                <w:iCs/>
              </w:rPr>
              <w:t>quartz</w:t>
            </w:r>
          </w:p>
        </w:tc>
        <w:tc>
          <w:tcPr>
            <w:tcW w:w="1399" w:type="dxa"/>
          </w:tcPr>
          <w:p w14:paraId="1E43784F" w14:textId="77777777" w:rsidR="00050FA2" w:rsidRPr="008F0641" w:rsidRDefault="00050FA2" w:rsidP="00A902EB">
            <w:pPr>
              <w:jc w:val="center"/>
              <w:rPr>
                <w:iCs/>
              </w:rPr>
            </w:pPr>
            <w:r w:rsidRPr="008F0641">
              <w:rPr>
                <w:iCs/>
              </w:rPr>
              <w:t>0.7</w:t>
            </w:r>
          </w:p>
        </w:tc>
      </w:tr>
      <w:tr w:rsidR="00050FA2" w:rsidRPr="00BE7B40" w14:paraId="24AEE136" w14:textId="77777777" w:rsidTr="00A902EB">
        <w:trPr>
          <w:jc w:val="center"/>
        </w:trPr>
        <w:tc>
          <w:tcPr>
            <w:tcW w:w="1431" w:type="dxa"/>
          </w:tcPr>
          <w:p w14:paraId="369FB541" w14:textId="77777777" w:rsidR="00050FA2" w:rsidRPr="008F0641" w:rsidRDefault="00050FA2" w:rsidP="00A902EB">
            <w:pPr>
              <w:jc w:val="center"/>
              <w:rPr>
                <w:iCs/>
              </w:rPr>
            </w:pPr>
            <w:r w:rsidRPr="008F0641">
              <w:rPr>
                <w:iCs/>
              </w:rPr>
              <w:t>gypsum</w:t>
            </w:r>
          </w:p>
        </w:tc>
        <w:tc>
          <w:tcPr>
            <w:tcW w:w="1399" w:type="dxa"/>
          </w:tcPr>
          <w:p w14:paraId="27F95E99" w14:textId="77777777" w:rsidR="00050FA2" w:rsidRPr="008F0641" w:rsidRDefault="00050FA2" w:rsidP="00A902EB">
            <w:pPr>
              <w:jc w:val="center"/>
              <w:rPr>
                <w:iCs/>
              </w:rPr>
            </w:pPr>
            <w:r w:rsidRPr="008F0641">
              <w:rPr>
                <w:iCs/>
              </w:rPr>
              <w:t>0.2</w:t>
            </w:r>
          </w:p>
        </w:tc>
      </w:tr>
      <w:tr w:rsidR="00050FA2" w:rsidRPr="00BE7B40" w14:paraId="5D812DA8" w14:textId="77777777" w:rsidTr="00A902EB">
        <w:trPr>
          <w:jc w:val="center"/>
        </w:trPr>
        <w:tc>
          <w:tcPr>
            <w:tcW w:w="1431" w:type="dxa"/>
          </w:tcPr>
          <w:p w14:paraId="64028EFC" w14:textId="77777777" w:rsidR="00050FA2" w:rsidRPr="00BE7B40" w:rsidRDefault="00050FA2" w:rsidP="00A902EB">
            <w:pPr>
              <w:jc w:val="center"/>
            </w:pPr>
            <w:r w:rsidRPr="008F0641">
              <w:rPr>
                <w:iCs/>
              </w:rPr>
              <w:t>amorphous</w:t>
            </w:r>
          </w:p>
        </w:tc>
        <w:tc>
          <w:tcPr>
            <w:tcW w:w="1399" w:type="dxa"/>
          </w:tcPr>
          <w:p w14:paraId="5134467E" w14:textId="77777777" w:rsidR="00050FA2" w:rsidRPr="008F0641" w:rsidRDefault="00050FA2" w:rsidP="00A902EB">
            <w:pPr>
              <w:jc w:val="center"/>
              <w:rPr>
                <w:iCs/>
              </w:rPr>
            </w:pPr>
            <w:r w:rsidRPr="008F0641">
              <w:rPr>
                <w:iCs/>
              </w:rPr>
              <w:t>54</w:t>
            </w:r>
          </w:p>
        </w:tc>
      </w:tr>
    </w:tbl>
    <w:bookmarkEnd w:id="12"/>
    <w:p w14:paraId="3FC176B9" w14:textId="77777777" w:rsidR="00050FA2" w:rsidRPr="00BE7B40" w:rsidRDefault="00050FA2" w:rsidP="00050FA2">
      <w:pPr>
        <w:jc w:val="center"/>
      </w:pPr>
      <w:r w:rsidRPr="00E4517F">
        <w:rPr>
          <w:i/>
          <w:iCs/>
          <w:color w:val="000000"/>
        </w:rPr>
        <w:t>Ta</w:t>
      </w:r>
      <w:r>
        <w:rPr>
          <w:i/>
          <w:iCs/>
          <w:color w:val="000000"/>
        </w:rPr>
        <w:t>ble</w:t>
      </w:r>
      <w:r w:rsidRPr="00E4517F">
        <w:rPr>
          <w:i/>
          <w:iCs/>
          <w:color w:val="000000"/>
        </w:rPr>
        <w:t xml:space="preserve"> </w:t>
      </w:r>
      <w:r>
        <w:rPr>
          <w:i/>
          <w:iCs/>
          <w:color w:val="000000"/>
        </w:rPr>
        <w:t>5</w:t>
      </w:r>
      <w:r w:rsidRPr="00E4517F">
        <w:rPr>
          <w:i/>
          <w:iCs/>
          <w:color w:val="000000"/>
        </w:rPr>
        <w:t xml:space="preserve">. </w:t>
      </w:r>
      <w:bookmarkStart w:id="13" w:name="_Hlk192152202"/>
      <w:r w:rsidRPr="00E4517F">
        <w:rPr>
          <w:i/>
          <w:iCs/>
          <w:color w:val="000000"/>
        </w:rPr>
        <w:t>a</w:t>
      </w:r>
      <w:r w:rsidRPr="00BE7B40">
        <w:rPr>
          <w:i/>
          <w:iCs/>
          <w:color w:val="000000"/>
        </w:rPr>
        <w:t xml:space="preserve">) Table of qualitative analysis of the simulant </w:t>
      </w:r>
      <w:r>
        <w:rPr>
          <w:i/>
          <w:iCs/>
          <w:color w:val="000000"/>
        </w:rPr>
        <w:t>JSC Mars</w:t>
      </w:r>
      <w:r w:rsidRPr="00BE7B40">
        <w:rPr>
          <w:i/>
          <w:iCs/>
          <w:color w:val="000000"/>
        </w:rPr>
        <w:t xml:space="preserve">-1; b) Table of quantitative analysis in mass percentage (in m%) of the simulant </w:t>
      </w:r>
      <w:r>
        <w:rPr>
          <w:i/>
          <w:iCs/>
          <w:color w:val="000000"/>
        </w:rPr>
        <w:t>JSC Mars</w:t>
      </w:r>
      <w:r w:rsidRPr="00BE7B40">
        <w:rPr>
          <w:i/>
          <w:iCs/>
          <w:color w:val="000000"/>
        </w:rPr>
        <w:t>-1.</w:t>
      </w:r>
      <w:bookmarkEnd w:id="13"/>
    </w:p>
    <w:p w14:paraId="7BF4783C" w14:textId="77777777" w:rsidR="00050FA2" w:rsidRDefault="00050FA2" w:rsidP="00050FA2">
      <w:pPr>
        <w:rPr>
          <w:color w:val="000000"/>
        </w:rPr>
      </w:pPr>
      <w:bookmarkStart w:id="14" w:name="_Hlk192152377"/>
    </w:p>
    <w:p w14:paraId="6CB59E9D" w14:textId="77777777" w:rsidR="00050FA2" w:rsidRDefault="00050FA2" w:rsidP="00050FA2">
      <w:pPr>
        <w:rPr>
          <w:color w:val="000000"/>
        </w:rPr>
      </w:pPr>
      <w:r w:rsidRPr="00BE7B40">
        <w:rPr>
          <w:color w:val="000000"/>
        </w:rPr>
        <w:t xml:space="preserve">The hyperspectral imaging cameras used </w:t>
      </w:r>
      <w:r>
        <w:rPr>
          <w:color w:val="000000"/>
        </w:rPr>
        <w:t xml:space="preserve">were </w:t>
      </w:r>
      <w:r w:rsidRPr="00BE7B40">
        <w:rPr>
          <w:color w:val="000000"/>
        </w:rPr>
        <w:t>Headwall Photonics Nano-Hyperspec</w:t>
      </w:r>
      <w:r>
        <w:rPr>
          <w:color w:val="000000"/>
        </w:rPr>
        <w:t xml:space="preserve">, that acquired </w:t>
      </w:r>
      <w:r w:rsidRPr="00BE7B40">
        <w:rPr>
          <w:color w:val="000000"/>
        </w:rPr>
        <w:t>from 400 to 1000 nm</w:t>
      </w:r>
      <w:r>
        <w:rPr>
          <w:color w:val="000000"/>
        </w:rPr>
        <w:t xml:space="preserve"> and had a</w:t>
      </w:r>
      <w:r w:rsidRPr="00BE7B40">
        <w:rPr>
          <w:color w:val="000000"/>
        </w:rPr>
        <w:t xml:space="preserve"> sampling of ~2 nm</w:t>
      </w:r>
      <w:r>
        <w:rPr>
          <w:color w:val="000000"/>
        </w:rPr>
        <w:t xml:space="preserve">, and </w:t>
      </w:r>
      <w:r w:rsidRPr="00BE7B40">
        <w:rPr>
          <w:color w:val="000000"/>
        </w:rPr>
        <w:t>Headwall Photonics Micro-Hyperspec camera</w:t>
      </w:r>
      <w:r>
        <w:rPr>
          <w:color w:val="000000"/>
        </w:rPr>
        <w:t>, that acquired</w:t>
      </w:r>
      <w:r w:rsidRPr="00BE7B40">
        <w:rPr>
          <w:color w:val="000000"/>
        </w:rPr>
        <w:t xml:space="preserve"> from 900 to 2500 nm</w:t>
      </w:r>
      <w:r>
        <w:rPr>
          <w:color w:val="000000"/>
        </w:rPr>
        <w:t xml:space="preserve"> and had a</w:t>
      </w:r>
      <w:r w:rsidRPr="00BE7B40">
        <w:rPr>
          <w:color w:val="000000"/>
        </w:rPr>
        <w:t xml:space="preserve"> sampling of ~10 nm.</w:t>
      </w:r>
      <w:r>
        <w:rPr>
          <w:color w:val="000000"/>
        </w:rPr>
        <w:t xml:space="preserve"> </w:t>
      </w:r>
      <w:r w:rsidRPr="00BE7B40">
        <w:rPr>
          <w:color w:val="000000"/>
        </w:rPr>
        <w:t>After setting up parameters in the camera software, original simulants were placed on the motorized stage to acquire their spectra both in VNIR and SWIR range (</w:t>
      </w:r>
      <w:r w:rsidRPr="00BE7B40">
        <w:rPr>
          <w:color w:val="FFC000"/>
        </w:rPr>
        <w:t xml:space="preserve">Tab. </w:t>
      </w:r>
      <w:r>
        <w:rPr>
          <w:color w:val="FFC000"/>
        </w:rPr>
        <w:t>5.</w:t>
      </w:r>
      <w:r w:rsidRPr="00BE7B40">
        <w:rPr>
          <w:color w:val="FFC000"/>
        </w:rPr>
        <w:t>11</w:t>
      </w:r>
      <w:r>
        <w:rPr>
          <w:color w:val="FFC000"/>
        </w:rPr>
        <w:t xml:space="preserve"> </w:t>
      </w:r>
      <w:r>
        <w:t xml:space="preserve">in </w:t>
      </w:r>
      <w:r w:rsidRPr="00464B98">
        <w:rPr>
          <w:color w:val="7030A0"/>
        </w:rPr>
        <w:t>Costa et al., 2024b</w:t>
      </w:r>
      <w:r w:rsidRPr="00BE7B40">
        <w:rPr>
          <w:color w:val="000000"/>
        </w:rPr>
        <w:t>). As white reference for radiance conversion a 99% reflectivity Spectralon (</w:t>
      </w:r>
      <w:r w:rsidRPr="00DC6750">
        <w:rPr>
          <w:color w:val="7030A0"/>
        </w:rPr>
        <w:t>Labsphere, Inc.</w:t>
      </w:r>
      <w:r w:rsidRPr="00BE7B40">
        <w:rPr>
          <w:color w:val="000000"/>
        </w:rPr>
        <w:t>) was used, we repeated the acquisition twice with each grainsize-class of the simulant</w:t>
      </w:r>
      <w:r>
        <w:rPr>
          <w:color w:val="000000"/>
        </w:rPr>
        <w:t xml:space="preserve">, </w:t>
      </w:r>
      <w:proofErr w:type="gramStart"/>
      <w:r>
        <w:rPr>
          <w:color w:val="000000"/>
        </w:rPr>
        <w:t>in order to</w:t>
      </w:r>
      <w:proofErr w:type="gramEnd"/>
      <w:r>
        <w:rPr>
          <w:color w:val="000000"/>
        </w:rPr>
        <w:t xml:space="preserve"> average afterwards</w:t>
      </w:r>
      <w:r w:rsidRPr="00BE7B40">
        <w:rPr>
          <w:color w:val="000000"/>
        </w:rPr>
        <w:t>. </w:t>
      </w:r>
      <w:r w:rsidRPr="008147CF">
        <w:rPr>
          <w:shd w:val="clear" w:color="auto" w:fill="FFFFFF"/>
        </w:rPr>
        <w:t>Acquisition output files were imported in ENVI software</w:t>
      </w:r>
      <w:r>
        <w:rPr>
          <w:shd w:val="clear" w:color="auto" w:fill="FFFFFF"/>
        </w:rPr>
        <w:t xml:space="preserve"> (</w:t>
      </w:r>
      <w:r w:rsidRPr="00B47341">
        <w:rPr>
          <w:color w:val="7030A0"/>
          <w:shd w:val="clear" w:color="auto" w:fill="FFFFFF"/>
        </w:rPr>
        <w:t>Buller, 2023</w:t>
      </w:r>
      <w:r>
        <w:rPr>
          <w:shd w:val="clear" w:color="auto" w:fill="FFFFFF"/>
        </w:rPr>
        <w:t>)</w:t>
      </w:r>
      <w:r w:rsidRPr="00BE7B40">
        <w:rPr>
          <w:color w:val="92D050"/>
          <w:shd w:val="clear" w:color="auto" w:fill="FFFFFF"/>
        </w:rPr>
        <w:t xml:space="preserve"> </w:t>
      </w:r>
      <w:r w:rsidRPr="008147CF">
        <w:rPr>
          <w:shd w:val="clear" w:color="auto" w:fill="FFFFFF"/>
        </w:rPr>
        <w:t>where Regions of Interest (ROIs) were defined and spectral data extrapolated. The obtained files in ASCII format were opened and processed in</w:t>
      </w:r>
      <w:r w:rsidRPr="008147CF">
        <w:t xml:space="preserve"> Origin </w:t>
      </w:r>
      <w:r w:rsidRPr="00BE7B40">
        <w:rPr>
          <w:color w:val="000000"/>
        </w:rPr>
        <w:t>software</w:t>
      </w:r>
      <w:r>
        <w:rPr>
          <w:color w:val="000000"/>
        </w:rPr>
        <w:t xml:space="preserve"> (</w:t>
      </w:r>
      <w:r w:rsidRPr="00B47341">
        <w:rPr>
          <w:color w:val="7030A0"/>
        </w:rPr>
        <w:t>OriginLab Corporation, 2019</w:t>
      </w:r>
      <w:r>
        <w:t>)</w:t>
      </w:r>
      <w:r w:rsidRPr="00BE7B40">
        <w:rPr>
          <w:color w:val="000000"/>
        </w:rPr>
        <w:t xml:space="preserve">. A light smoothing (binomial method) was applied in the VNIR spectra to reduce signal noise and finally VNIR and SWIR acquisitions were merged at 970 nm. For the sieved simulants, merging consisted in </w:t>
      </w:r>
      <w:proofErr w:type="gramStart"/>
      <w:r w:rsidRPr="00BE7B40">
        <w:rPr>
          <w:color w:val="000000"/>
        </w:rPr>
        <w:t>a</w:t>
      </w:r>
      <w:proofErr w:type="gramEnd"/>
      <w:r w:rsidRPr="00BE7B40">
        <w:rPr>
          <w:color w:val="000000"/>
        </w:rPr>
        <w:t xml:space="preserve"> </w:t>
      </w:r>
      <w:r>
        <w:rPr>
          <w:color w:val="000000"/>
        </w:rPr>
        <w:t xml:space="preserve">averaging of spectra and </w:t>
      </w:r>
      <w:r w:rsidRPr="00BE7B40">
        <w:rPr>
          <w:color w:val="000000"/>
        </w:rPr>
        <w:t xml:space="preserve">downward shift of the SWIR curve. Moreover, </w:t>
      </w:r>
      <w:r>
        <w:rPr>
          <w:color w:val="000000"/>
        </w:rPr>
        <w:t>f</w:t>
      </w:r>
      <w:r w:rsidRPr="00BE7B40">
        <w:rPr>
          <w:color w:val="000000"/>
        </w:rPr>
        <w:t xml:space="preserve">ollowing </w:t>
      </w:r>
      <w:r w:rsidRPr="00EB7652">
        <w:rPr>
          <w:color w:val="7030A0"/>
        </w:rPr>
        <w:t>Zhang et al. (2014)</w:t>
      </w:r>
      <w:r w:rsidRPr="00BE7B40">
        <w:rPr>
          <w:color w:val="000000"/>
        </w:rPr>
        <w:t>, the smoothed/ merged data were multiplied by absolute reflectance of the Spectralon white reference</w:t>
      </w:r>
      <w:r>
        <w:rPr>
          <w:color w:val="000000"/>
        </w:rPr>
        <w:t xml:space="preserve"> (</w:t>
      </w:r>
      <w:r w:rsidRPr="00A81349">
        <w:rPr>
          <w:color w:val="7030A0"/>
        </w:rPr>
        <w:t>Labsphere, Inc.</w:t>
      </w:r>
      <w:r>
        <w:t>)</w:t>
      </w:r>
      <w:r w:rsidRPr="00BE7B40">
        <w:rPr>
          <w:color w:val="92D050"/>
        </w:rPr>
        <w:t xml:space="preserve"> </w:t>
      </w:r>
      <w:proofErr w:type="gramStart"/>
      <w:r w:rsidRPr="00BE7B40">
        <w:rPr>
          <w:color w:val="000000"/>
        </w:rPr>
        <w:t>in order to</w:t>
      </w:r>
      <w:proofErr w:type="gramEnd"/>
      <w:r w:rsidRPr="00BE7B40">
        <w:rPr>
          <w:color w:val="000000"/>
        </w:rPr>
        <w:t xml:space="preserve"> mitigate potential artifacts due to its absorption peak at 2100 nm. Thanks to the absorption bands in the graph (</w:t>
      </w:r>
      <w:r w:rsidRPr="00BE7B40">
        <w:rPr>
          <w:color w:val="00B050"/>
        </w:rPr>
        <w:t xml:space="preserve">Fig. </w:t>
      </w:r>
      <w:r>
        <w:rPr>
          <w:color w:val="00B050"/>
        </w:rPr>
        <w:t>3</w:t>
      </w:r>
      <w:r w:rsidRPr="00BE7B40">
        <w:rPr>
          <w:color w:val="000000"/>
        </w:rPr>
        <w:t xml:space="preserve">) we can identify the main spectral features of the simulant and comprehend the minerals existing within the original simulant and the sieved simulant in the following granulometric classes: 0-32 µm, 32-63 µm, 63-250 µm, 250-1000 µm and &gt;1000 µm. </w:t>
      </w:r>
      <w:bookmarkEnd w:id="14"/>
    </w:p>
    <w:p w14:paraId="0E92E0F4" w14:textId="77777777" w:rsidR="00050FA2" w:rsidRDefault="00050FA2" w:rsidP="00050FA2">
      <w:pPr>
        <w:rPr>
          <w:color w:val="000000"/>
        </w:rPr>
      </w:pPr>
    </w:p>
    <w:p w14:paraId="33CCA41E" w14:textId="77777777" w:rsidR="00050FA2" w:rsidRPr="00B679A0" w:rsidRDefault="00050FA2" w:rsidP="00050FA2">
      <w:pPr>
        <w:jc w:val="center"/>
      </w:pPr>
      <w:r w:rsidRPr="00115A27">
        <w:rPr>
          <w:noProof/>
        </w:rPr>
        <w:drawing>
          <wp:inline distT="0" distB="0" distL="0" distR="0" wp14:anchorId="7DD250B7" wp14:editId="086F853A">
            <wp:extent cx="3960495" cy="2879725"/>
            <wp:effectExtent l="0" t="0" r="1905" b="0"/>
            <wp:docPr id="1" name="Immagine 1" descr="Immagine che contiene testo, diagramma, linea, Diagramm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descr="Immagine che contiene testo, diagramma, linea, Diagramma&#10;&#10;Il contenuto generato dall'IA potrebbe non essere corretto."/>
                    <pic:cNvPicPr>
                      <a:picLocks noChangeAspect="1" noChangeArrowheads="1"/>
                    </pic:cNvPicPr>
                  </pic:nvPicPr>
                  <pic:blipFill>
                    <a:blip r:embed="rId12">
                      <a:extLst>
                        <a:ext uri="{28A0092B-C50C-407E-A947-70E740481C1C}">
                          <a14:useLocalDpi xmlns:a14="http://schemas.microsoft.com/office/drawing/2010/main" val="0"/>
                        </a:ext>
                      </a:extLst>
                    </a:blip>
                    <a:srcRect t="1534" b="3368"/>
                    <a:stretch>
                      <a:fillRect/>
                    </a:stretch>
                  </pic:blipFill>
                  <pic:spPr bwMode="auto">
                    <a:xfrm>
                      <a:off x="0" y="0"/>
                      <a:ext cx="3960495" cy="2879725"/>
                    </a:xfrm>
                    <a:prstGeom prst="rect">
                      <a:avLst/>
                    </a:prstGeom>
                    <a:noFill/>
                    <a:ln>
                      <a:noFill/>
                    </a:ln>
                  </pic:spPr>
                </pic:pic>
              </a:graphicData>
            </a:graphic>
          </wp:inline>
        </w:drawing>
      </w:r>
    </w:p>
    <w:p w14:paraId="4CC0E492" w14:textId="77777777" w:rsidR="00050FA2" w:rsidRDefault="00050FA2" w:rsidP="00050FA2">
      <w:pPr>
        <w:jc w:val="center"/>
        <w:rPr>
          <w:i/>
          <w:iCs/>
          <w:color w:val="000000"/>
        </w:rPr>
      </w:pPr>
      <w:r w:rsidRPr="00DF6023">
        <w:rPr>
          <w:i/>
          <w:iCs/>
          <w:color w:val="000000"/>
        </w:rPr>
        <w:t>Fig</w:t>
      </w:r>
      <w:r>
        <w:rPr>
          <w:i/>
          <w:iCs/>
          <w:color w:val="000000"/>
        </w:rPr>
        <w:t>ure</w:t>
      </w:r>
      <w:r w:rsidRPr="00DF6023">
        <w:rPr>
          <w:i/>
          <w:iCs/>
          <w:color w:val="000000"/>
        </w:rPr>
        <w:t xml:space="preserve"> </w:t>
      </w:r>
      <w:r>
        <w:rPr>
          <w:i/>
          <w:iCs/>
          <w:color w:val="000000"/>
        </w:rPr>
        <w:t>3</w:t>
      </w:r>
      <w:r w:rsidRPr="00DF6023">
        <w:rPr>
          <w:i/>
          <w:iCs/>
          <w:color w:val="000000"/>
        </w:rPr>
        <w:t xml:space="preserve">. </w:t>
      </w:r>
      <w:bookmarkStart w:id="15" w:name="_Hlk192152427"/>
      <w:r w:rsidRPr="00DF6023">
        <w:rPr>
          <w:i/>
          <w:iCs/>
          <w:color w:val="000000"/>
        </w:rPr>
        <w:t>Spectra</w:t>
      </w:r>
      <w:r w:rsidRPr="00BE7B40">
        <w:rPr>
          <w:i/>
          <w:iCs/>
          <w:color w:val="000000"/>
        </w:rPr>
        <w:t xml:space="preserve"> of the original (i.e., bulk sample) and different grainsize fractions of </w:t>
      </w:r>
      <w:r>
        <w:rPr>
          <w:i/>
          <w:iCs/>
          <w:color w:val="000000"/>
        </w:rPr>
        <w:t>JSC Mars</w:t>
      </w:r>
      <w:r w:rsidRPr="00BE7B40">
        <w:rPr>
          <w:i/>
          <w:iCs/>
          <w:color w:val="000000"/>
        </w:rPr>
        <w:t>-1</w:t>
      </w:r>
      <w:r>
        <w:rPr>
          <w:i/>
          <w:iCs/>
          <w:color w:val="000000"/>
        </w:rPr>
        <w:t xml:space="preserve"> (see Supplementary materials)</w:t>
      </w:r>
      <w:r w:rsidRPr="00BE7B40">
        <w:rPr>
          <w:i/>
          <w:iCs/>
          <w:color w:val="000000"/>
        </w:rPr>
        <w:t>.</w:t>
      </w:r>
      <w:bookmarkEnd w:id="15"/>
    </w:p>
    <w:p w14:paraId="1F0D8E6E" w14:textId="77777777" w:rsidR="00050FA2" w:rsidRDefault="00050FA2" w:rsidP="00050FA2">
      <w:pPr>
        <w:rPr>
          <w:b/>
          <w:bCs/>
          <w:color w:val="000000"/>
        </w:rPr>
      </w:pPr>
    </w:p>
    <w:p w14:paraId="661DE02F" w14:textId="77777777" w:rsidR="00050FA2" w:rsidRPr="00D12C47" w:rsidRDefault="00050FA2" w:rsidP="00050FA2">
      <w:pPr>
        <w:rPr>
          <w:u w:val="single"/>
        </w:rPr>
      </w:pPr>
      <w:r w:rsidRPr="00D12C47">
        <w:rPr>
          <w:u w:val="single"/>
        </w:rPr>
        <w:t>Supplementary materials</w:t>
      </w:r>
    </w:p>
    <w:p w14:paraId="232E5D31" w14:textId="77777777" w:rsidR="00050FA2" w:rsidRDefault="00050FA2" w:rsidP="00050FA2"/>
    <w:p w14:paraId="44B9ECC7" w14:textId="77777777" w:rsidR="00050FA2" w:rsidRDefault="00050FA2" w:rsidP="00050FA2">
      <w:pPr>
        <w:rPr>
          <w:color w:val="000000"/>
          <w:u w:val="single"/>
        </w:rPr>
      </w:pPr>
      <w:r>
        <w:t xml:space="preserve">See </w:t>
      </w:r>
      <w:r w:rsidRPr="001D72D1">
        <w:rPr>
          <w:color w:val="000000"/>
        </w:rPr>
        <w:t xml:space="preserve">Research Data Unipd </w:t>
      </w:r>
      <w:r>
        <w:rPr>
          <w:color w:val="000000"/>
        </w:rPr>
        <w:t>(</w:t>
      </w:r>
      <w:hyperlink r:id="rId13" w:history="1">
        <w:r w:rsidRPr="00050FA2">
          <w:rPr>
            <w:rStyle w:val="Collegamentoipertestuale"/>
            <w:color w:val="auto"/>
          </w:rPr>
          <w:t>https://researchdata.cab.unipd.it/id/eprint/1279</w:t>
        </w:r>
      </w:hyperlink>
      <w:r>
        <w:t xml:space="preserve">; </w:t>
      </w:r>
      <w:r w:rsidRPr="006D7658">
        <w:rPr>
          <w:color w:val="7030A0"/>
        </w:rPr>
        <w:t>Costa et al., 2024a, b</w:t>
      </w:r>
      <w:r>
        <w:rPr>
          <w:color w:val="7030A0"/>
        </w:rPr>
        <w:t>).</w:t>
      </w:r>
    </w:p>
    <w:p w14:paraId="2BBD6F2D" w14:textId="77777777" w:rsidR="00050FA2" w:rsidRDefault="00050FA2" w:rsidP="00050FA2">
      <w:pPr>
        <w:rPr>
          <w:color w:val="000000"/>
          <w:u w:val="single"/>
        </w:rPr>
      </w:pPr>
    </w:p>
    <w:p w14:paraId="1D5EE5DF" w14:textId="77777777" w:rsidR="00050FA2" w:rsidRPr="00B14FB7" w:rsidRDefault="00050FA2" w:rsidP="00050FA2">
      <w:pPr>
        <w:rPr>
          <w:color w:val="000000"/>
          <w:u w:val="single"/>
        </w:rPr>
      </w:pPr>
      <w:r w:rsidRPr="00B14FB7">
        <w:rPr>
          <w:color w:val="000000"/>
          <w:u w:val="single"/>
        </w:rPr>
        <w:t>References</w:t>
      </w:r>
    </w:p>
    <w:p w14:paraId="5CA54B4A" w14:textId="77777777" w:rsidR="00050FA2" w:rsidRDefault="00050FA2" w:rsidP="00050FA2"/>
    <w:p w14:paraId="4C464753" w14:textId="77777777" w:rsidR="00050FA2" w:rsidRDefault="00050FA2" w:rsidP="00050FA2">
      <w:r>
        <w:t xml:space="preserve">Allen, C. C., Jager, K. M., Morris, R. V., Lindstrom, D. J., </w:t>
      </w:r>
      <w:proofErr w:type="spellStart"/>
      <w:r>
        <w:t>Lindtsrom</w:t>
      </w:r>
      <w:proofErr w:type="spellEnd"/>
      <w:r>
        <w:t>, M. M., &amp; Lockwood, J. P. (1998). Martian soil simulant available for scientific, educational study. Eos Trans. AGU, 79(34), 405–409. https://doi.org/10.1029/98EO00309</w:t>
      </w:r>
    </w:p>
    <w:p w14:paraId="3F2B1524" w14:textId="77777777" w:rsidR="00050FA2" w:rsidRPr="00AF1322" w:rsidRDefault="00050FA2" w:rsidP="00050FA2">
      <w:pPr>
        <w:rPr>
          <w:lang w:val="it-IT"/>
        </w:rPr>
      </w:pPr>
      <w:r>
        <w:t xml:space="preserve">Buller, I. D. (2023). ENVI: Environmental interpolation using spatial kernel density estimation v.5.6.3. </w:t>
      </w:r>
      <w:r w:rsidRPr="00AF1322">
        <w:rPr>
          <w:lang w:val="it-IT"/>
        </w:rPr>
        <w:t>Zenodo. https://www.nv5geospatialsoftware.com/Products/ENVI</w:t>
      </w:r>
    </w:p>
    <w:p w14:paraId="72D6E5AF" w14:textId="77777777" w:rsidR="00050FA2" w:rsidRDefault="00050FA2" w:rsidP="00050FA2">
      <w:r w:rsidRPr="00AF1322">
        <w:rPr>
          <w:lang w:val="it-IT"/>
        </w:rPr>
        <w:t xml:space="preserve">Costa, N., Bonetto, A., Ferretti, P., Casarotto, B., Massironi, M., Bohleber, P., Altieri, F., Nava, J., &amp; Favero, M. (2024a). </w:t>
      </w:r>
      <w:r>
        <w:t>Martian simulant analysis dataset (v2). Research Data Unipd. https://doi.org/10.25430/RESEARCHDATA.CAB.UNIPD.IT.00001279</w:t>
      </w:r>
    </w:p>
    <w:p w14:paraId="39366216" w14:textId="77777777" w:rsidR="00050FA2" w:rsidRDefault="00050FA2" w:rsidP="00050FA2">
      <w:r w:rsidRPr="00AF1322">
        <w:rPr>
          <w:lang w:val="it-IT"/>
        </w:rPr>
        <w:lastRenderedPageBreak/>
        <w:t xml:space="preserve">Costa, N., Bonetto, A., Ferretti, P., Casarotto, B., Massironi, M., Bohleber, P., Altieri, F., Nava, J., &amp; Favero, M. (2024b). </w:t>
      </w:r>
      <w:r>
        <w:t>Analytical data on three Martian simulants. Data Brief, 57, 1–15. https://doi.org/10.1016/j.dib.2024.111099</w:t>
      </w:r>
    </w:p>
    <w:p w14:paraId="765DB50A" w14:textId="77777777" w:rsidR="00050FA2" w:rsidRDefault="00050FA2" w:rsidP="00050FA2">
      <w:r>
        <w:t xml:space="preserve">Degen, T., </w:t>
      </w:r>
      <w:proofErr w:type="spellStart"/>
      <w:r>
        <w:t>Sadki</w:t>
      </w:r>
      <w:proofErr w:type="spellEnd"/>
      <w:r>
        <w:t xml:space="preserve">, M., </w:t>
      </w:r>
      <w:proofErr w:type="spellStart"/>
      <w:r>
        <w:t>Bron</w:t>
      </w:r>
      <w:proofErr w:type="spellEnd"/>
      <w:r>
        <w:t xml:space="preserve">, E., König, U., &amp; </w:t>
      </w:r>
      <w:proofErr w:type="spellStart"/>
      <w:r>
        <w:t>Nénert</w:t>
      </w:r>
      <w:proofErr w:type="spellEnd"/>
      <w:r>
        <w:t>, G. (2014). The HighScore Suite. Powder Diffraction, 29(S2), S13–S18. http://doi.org/10.1017/S0885715614000840</w:t>
      </w:r>
    </w:p>
    <w:p w14:paraId="03F732AD" w14:textId="77777777" w:rsidR="00050FA2" w:rsidRDefault="00050FA2" w:rsidP="00050FA2">
      <w:r>
        <w:t>Döbelin, N., &amp; Kleeberg, R. (2015). Profex: A graphical user interface for the Rietveld refinement program BGMN. Journal of Applied Crystallography, 48, 1573–1580. https://doi.org/10.1107/S1600576715014685</w:t>
      </w:r>
    </w:p>
    <w:p w14:paraId="3D5FDC02" w14:textId="77777777" w:rsidR="00050FA2" w:rsidRDefault="00050FA2" w:rsidP="00050FA2">
      <w:r>
        <w:t>Labsphere Inc. (n.d.). Spectralon® diffuse reflectance standards. https://www.labsphere.com/product/spectralon-diffuse-reflectance-standards/</w:t>
      </w:r>
    </w:p>
    <w:p w14:paraId="2188054E" w14:textId="77777777" w:rsidR="00050FA2" w:rsidRDefault="00050FA2" w:rsidP="00050FA2">
      <w:r>
        <w:t>OriginLab Corporation. (2019). Origin (Pro) v.9.55. http://www.originlab.com</w:t>
      </w:r>
    </w:p>
    <w:p w14:paraId="7A404D3C" w14:textId="77777777" w:rsidR="00050FA2" w:rsidRDefault="00050FA2" w:rsidP="00050FA2">
      <w:r>
        <w:t xml:space="preserve">Zhang, H., Yang, Y., </w:t>
      </w:r>
      <w:proofErr w:type="spellStart"/>
      <w:r>
        <w:t>Jin</w:t>
      </w:r>
      <w:proofErr w:type="spellEnd"/>
      <w:r>
        <w:t>, W., Liu, C., &amp; Hsu, W. (2014). Effects of Spectralon absorption on reflectance spectra of typical planetary surface analog materials. Optics Express, 22. https://doi.org/10.1364/OE.22.021280</w:t>
      </w:r>
      <w:r w:rsidRPr="00BE7B40">
        <w:t xml:space="preserve"> </w:t>
      </w:r>
    </w:p>
    <w:p w14:paraId="0FDFF714" w14:textId="77777777" w:rsidR="00853698" w:rsidRDefault="00853698"/>
    <w:sectPr w:rsidR="00853698" w:rsidSect="0078240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8044FC"/>
    <w:multiLevelType w:val="multilevel"/>
    <w:tmpl w:val="82046B76"/>
    <w:lvl w:ilvl="0">
      <w:start w:val="1"/>
      <w:numFmt w:val="bullet"/>
      <w:lvlText w:val="-"/>
      <w:lvlJc w:val="left"/>
      <w:pPr>
        <w:tabs>
          <w:tab w:val="num" w:pos="720"/>
        </w:tabs>
        <w:ind w:left="720" w:hanging="360"/>
      </w:pPr>
      <w:rPr>
        <w:rFonts w:ascii="Calibri" w:eastAsia="Aptos"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revisionView w:inkAnnotations="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FA2"/>
    <w:rsid w:val="00050FA2"/>
    <w:rsid w:val="0078240B"/>
    <w:rsid w:val="0085369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49270BF4"/>
  <w15:chartTrackingRefBased/>
  <w15:docId w15:val="{19D91534-4227-4D95-9A25-39BFDABF0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50FA2"/>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050FA2"/>
    <w:rPr>
      <w:color w:val="0563C1"/>
      <w:u w:val="single"/>
    </w:rPr>
  </w:style>
  <w:style w:type="table" w:styleId="Grigliatabella">
    <w:name w:val="Table Grid"/>
    <w:basedOn w:val="Tabellanormale"/>
    <w:uiPriority w:val="39"/>
    <w:rsid w:val="00050F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earchdata.cab.unipd.it/id/eprint/1279" TargetMode="External"/><Relationship Id="rId13" Type="http://schemas.openxmlformats.org/officeDocument/2006/relationships/hyperlink" Target="https://researchdata.cab.unipd.it/id/eprint/1279"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numbering" Target="numbering.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AD758CC8D733A438D82035B617BB587" ma:contentTypeVersion="14" ma:contentTypeDescription="Creare un nuovo documento." ma:contentTypeScope="" ma:versionID="b808b7805452199521476c3d1672a4ae">
  <xsd:schema xmlns:xsd="http://www.w3.org/2001/XMLSchema" xmlns:xs="http://www.w3.org/2001/XMLSchema" xmlns:p="http://schemas.microsoft.com/office/2006/metadata/properties" xmlns:ns3="d61c0189-bd90-4de8-93fe-4051a82af083" targetNamespace="http://schemas.microsoft.com/office/2006/metadata/properties" ma:root="true" ma:fieldsID="e97c6f88c3dd76209d4cfac5d9251d77" ns3:_="">
    <xsd:import namespace="d61c0189-bd90-4de8-93fe-4051a82af08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_activity" minOccurs="0"/>
                <xsd:element ref="ns3:MediaServiceObjectDetectorVersions" minOccurs="0"/>
                <xsd:element ref="ns3:MediaServiceSystemTag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c0189-bd90-4de8-93fe-4051a82af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activity" ma:index="16" nillable="true" ma:displayName="_activity" ma:hidden="true" ma:internalName="_activity">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61c0189-bd90-4de8-93fe-4051a82af083" xsi:nil="true"/>
  </documentManagement>
</p:properties>
</file>

<file path=customXml/itemProps1.xml><?xml version="1.0" encoding="utf-8"?>
<ds:datastoreItem xmlns:ds="http://schemas.openxmlformats.org/officeDocument/2006/customXml" ds:itemID="{65C7C585-7F1E-4D0C-8123-3617712972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c0189-bd90-4de8-93fe-4051a82af0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1B294-823E-4C8E-B3EF-E88140B05FE7}">
  <ds:schemaRefs>
    <ds:schemaRef ds:uri="http://schemas.microsoft.com/sharepoint/v3/contenttype/forms"/>
  </ds:schemaRefs>
</ds:datastoreItem>
</file>

<file path=customXml/itemProps3.xml><?xml version="1.0" encoding="utf-8"?>
<ds:datastoreItem xmlns:ds="http://schemas.openxmlformats.org/officeDocument/2006/customXml" ds:itemID="{8B743618-CF78-4807-BD4D-24B72D5C0999}">
  <ds:schemaRef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d61c0189-bd90-4de8-93fe-4051a82af083"/>
    <ds:schemaRef ds:uri="http://schemas.microsoft.com/office/2006/metadata/properties"/>
    <ds:schemaRef ds:uri="http://www.w3.org/XML/1998/namespace"/>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1648</Words>
  <Characters>9394</Characters>
  <Application>Microsoft Office Word</Application>
  <DocSecurity>0</DocSecurity>
  <Lines>78</Lines>
  <Paragraphs>22</Paragraphs>
  <ScaleCrop>false</ScaleCrop>
  <Company/>
  <LinksUpToDate>false</LinksUpToDate>
  <CharactersWithSpaces>11020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Costa</dc:creator>
  <cp:keywords/>
  <dc:description/>
  <cp:lastModifiedBy>Nicole Costa</cp:lastModifiedBy>
  <cp:revision>1</cp:revision>
  <dcterms:created xsi:type="dcterms:W3CDTF">2025-09-25T11:06:00Z</dcterms:created>
  <dcterms:modified xsi:type="dcterms:W3CDTF">2025-09-25T11:17:00Z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0x0101008AD758CC8D733A438D82035B617BB587</vt:lpwstr>
  </property>
</Properties>
</file>